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D2" w:rsidRPr="00E51CD2" w:rsidRDefault="00E51CD2" w:rsidP="00E51CD2">
      <w:pPr>
        <w:spacing w:line="560" w:lineRule="exact"/>
        <w:rPr>
          <w:rFonts w:ascii="方正小标宋简体" w:eastAsia="方正小标宋简体"/>
          <w:sz w:val="44"/>
          <w:szCs w:val="44"/>
        </w:rPr>
      </w:pPr>
      <w:r w:rsidRPr="00E51CD2">
        <w:rPr>
          <w:rFonts w:ascii="方正小标宋简体" w:eastAsia="方正小标宋简体" w:hint="eastAsia"/>
          <w:sz w:val="44"/>
          <w:szCs w:val="44"/>
        </w:rPr>
        <w:t>无锡市矿产资源总体规划(</w:t>
      </w:r>
      <w:r w:rsidR="00C311AB">
        <w:rPr>
          <w:rFonts w:ascii="方正小标宋简体" w:eastAsia="方正小标宋简体" w:hint="eastAsia"/>
          <w:sz w:val="44"/>
          <w:szCs w:val="44"/>
        </w:rPr>
        <w:t>2021-2025</w:t>
      </w:r>
      <w:r w:rsidRPr="00E51CD2">
        <w:rPr>
          <w:rFonts w:ascii="方正小标宋简体" w:eastAsia="方正小标宋简体" w:hint="eastAsia"/>
          <w:sz w:val="44"/>
          <w:szCs w:val="44"/>
        </w:rPr>
        <w:t>年)解读</w:t>
      </w:r>
    </w:p>
    <w:p w:rsidR="00E51CD2" w:rsidRDefault="00E51CD2" w:rsidP="00E51CD2">
      <w:pPr>
        <w:spacing w:line="560" w:lineRule="exact"/>
        <w:ind w:firstLineChars="200" w:firstLine="640"/>
        <w:rPr>
          <w:rFonts w:ascii="Times New Roman" w:eastAsia="仿宋_GB2312" w:hAnsi="Times New Roman" w:cs="Times New Roman"/>
          <w:sz w:val="32"/>
          <w:szCs w:val="32"/>
        </w:rPr>
      </w:pPr>
    </w:p>
    <w:p w:rsidR="00E51CD2" w:rsidRPr="00E51CD2" w:rsidRDefault="00E51CD2" w:rsidP="00E51CD2">
      <w:pPr>
        <w:spacing w:line="560" w:lineRule="exact"/>
        <w:ind w:firstLineChars="200" w:firstLine="640"/>
        <w:rPr>
          <w:rFonts w:ascii="Times New Roman" w:eastAsia="仿宋_GB2312" w:hAnsi="Times New Roman" w:cs="Times New Roman"/>
          <w:sz w:val="32"/>
          <w:szCs w:val="32"/>
        </w:rPr>
      </w:pPr>
      <w:r w:rsidRPr="00E51CD2">
        <w:rPr>
          <w:rFonts w:ascii="Times New Roman" w:eastAsia="仿宋_GB2312" w:hAnsi="Times New Roman" w:cs="Times New Roman"/>
          <w:sz w:val="32"/>
          <w:szCs w:val="32"/>
        </w:rPr>
        <w:t>矿产资源规划是指导矿产资源勘查、开发利用与保护的指导性文件，是依法审批和监督管理矿产资源勘查和开发利用与保护活动的重要依据。</w:t>
      </w:r>
    </w:p>
    <w:p w:rsidR="00E51CD2" w:rsidRPr="00E51CD2" w:rsidRDefault="00E51CD2" w:rsidP="00E51CD2">
      <w:pPr>
        <w:spacing w:line="560" w:lineRule="exact"/>
        <w:ind w:firstLineChars="196" w:firstLine="627"/>
        <w:rPr>
          <w:rFonts w:ascii="黑体" w:eastAsia="黑体" w:hAnsi="黑体"/>
          <w:sz w:val="32"/>
          <w:szCs w:val="32"/>
        </w:rPr>
      </w:pPr>
      <w:r w:rsidRPr="00E51CD2">
        <w:rPr>
          <w:rFonts w:ascii="黑体" w:eastAsia="黑体" w:hAnsi="黑体" w:hint="eastAsia"/>
          <w:bCs/>
          <w:sz w:val="32"/>
          <w:szCs w:val="32"/>
        </w:rPr>
        <w:t xml:space="preserve">一、规划适用范围及基期 </w:t>
      </w:r>
    </w:p>
    <w:p w:rsidR="00E51CD2" w:rsidRPr="00E51CD2" w:rsidRDefault="00E51CD2" w:rsidP="00E51CD2">
      <w:pPr>
        <w:spacing w:line="560" w:lineRule="exact"/>
        <w:ind w:firstLineChars="200" w:firstLine="640"/>
        <w:rPr>
          <w:rFonts w:ascii="Times New Roman" w:eastAsia="仿宋_GB2312" w:hAnsi="Times New Roman" w:cs="Times New Roman"/>
          <w:sz w:val="32"/>
          <w:szCs w:val="32"/>
        </w:rPr>
      </w:pPr>
      <w:r w:rsidRPr="00E51CD2">
        <w:rPr>
          <w:rFonts w:ascii="Times New Roman" w:eastAsia="仿宋_GB2312" w:hAnsi="Times New Roman" w:cs="Times New Roman"/>
          <w:sz w:val="32"/>
          <w:szCs w:val="32"/>
        </w:rPr>
        <w:t>规划适用于无锡市所辖行政区范围内除石油、天然气以外的矿产。</w:t>
      </w:r>
      <w:r w:rsidRPr="00E51CD2">
        <w:rPr>
          <w:rFonts w:ascii="Times New Roman" w:eastAsia="仿宋_GB2312" w:hAnsi="Times New Roman" w:cs="Times New Roman"/>
          <w:sz w:val="32"/>
          <w:szCs w:val="32"/>
        </w:rPr>
        <w:t xml:space="preserve"> </w:t>
      </w:r>
      <w:r w:rsidRPr="00E51CD2">
        <w:rPr>
          <w:rFonts w:ascii="Times New Roman" w:eastAsia="仿宋_GB2312" w:hAnsi="Times New Roman" w:cs="Times New Roman"/>
          <w:sz w:val="32"/>
          <w:szCs w:val="32"/>
        </w:rPr>
        <w:t>规划基准年为</w:t>
      </w:r>
      <w:r w:rsidRPr="00E51CD2">
        <w:rPr>
          <w:rFonts w:ascii="Times New Roman" w:eastAsia="仿宋_GB2312" w:hAnsi="Times New Roman" w:cs="Times New Roman"/>
          <w:sz w:val="32"/>
          <w:szCs w:val="32"/>
        </w:rPr>
        <w:t>2020</w:t>
      </w:r>
      <w:r w:rsidRPr="00E51CD2">
        <w:rPr>
          <w:rFonts w:ascii="Times New Roman" w:eastAsia="仿宋_GB2312" w:hAnsi="Times New Roman" w:cs="Times New Roman"/>
          <w:sz w:val="32"/>
          <w:szCs w:val="32"/>
        </w:rPr>
        <w:t>年，规划期为</w:t>
      </w:r>
      <w:r w:rsidRPr="00E51CD2">
        <w:rPr>
          <w:rFonts w:ascii="Times New Roman" w:eastAsia="仿宋_GB2312" w:hAnsi="Times New Roman" w:cs="Times New Roman"/>
          <w:sz w:val="32"/>
          <w:szCs w:val="32"/>
        </w:rPr>
        <w:t>2021-2025</w:t>
      </w:r>
      <w:r w:rsidRPr="00E51CD2">
        <w:rPr>
          <w:rFonts w:ascii="Times New Roman" w:eastAsia="仿宋_GB2312" w:hAnsi="Times New Roman" w:cs="Times New Roman"/>
          <w:sz w:val="32"/>
          <w:szCs w:val="32"/>
        </w:rPr>
        <w:t>年，展望到</w:t>
      </w:r>
      <w:r w:rsidRPr="00E51CD2">
        <w:rPr>
          <w:rFonts w:ascii="Times New Roman" w:eastAsia="仿宋_GB2312" w:hAnsi="Times New Roman" w:cs="Times New Roman"/>
          <w:sz w:val="32"/>
          <w:szCs w:val="32"/>
        </w:rPr>
        <w:t>2035</w:t>
      </w:r>
      <w:r w:rsidRPr="00E51CD2">
        <w:rPr>
          <w:rFonts w:ascii="Times New Roman" w:eastAsia="仿宋_GB2312" w:hAnsi="Times New Roman" w:cs="Times New Roman"/>
          <w:sz w:val="32"/>
          <w:szCs w:val="32"/>
        </w:rPr>
        <w:t>年。</w:t>
      </w:r>
    </w:p>
    <w:p w:rsidR="00E51CD2" w:rsidRPr="00E51CD2" w:rsidRDefault="00E51CD2" w:rsidP="00E51CD2">
      <w:pPr>
        <w:spacing w:line="560" w:lineRule="exact"/>
        <w:ind w:firstLineChars="196" w:firstLine="627"/>
        <w:rPr>
          <w:rFonts w:ascii="黑体" w:eastAsia="黑体" w:hAnsi="黑体"/>
          <w:bCs/>
          <w:sz w:val="32"/>
          <w:szCs w:val="32"/>
        </w:rPr>
      </w:pPr>
      <w:r w:rsidRPr="00E51CD2">
        <w:rPr>
          <w:rFonts w:ascii="黑体" w:eastAsia="黑体" w:hAnsi="黑体" w:hint="eastAsia"/>
          <w:bCs/>
          <w:sz w:val="32"/>
          <w:szCs w:val="32"/>
        </w:rPr>
        <w:t xml:space="preserve">二、指导思想 </w:t>
      </w:r>
    </w:p>
    <w:p w:rsidR="00E51CD2" w:rsidRPr="00E51CD2" w:rsidRDefault="00E51CD2" w:rsidP="00E51CD2">
      <w:pPr>
        <w:spacing w:line="560" w:lineRule="exact"/>
        <w:ind w:firstLineChars="200" w:firstLine="640"/>
        <w:rPr>
          <w:rFonts w:ascii="Times New Roman" w:eastAsia="仿宋_GB2312" w:hAnsi="Times New Roman" w:cs="Times New Roman"/>
          <w:sz w:val="32"/>
          <w:szCs w:val="32"/>
        </w:rPr>
      </w:pPr>
      <w:r w:rsidRPr="00E51CD2">
        <w:rPr>
          <w:rFonts w:ascii="Times New Roman" w:eastAsia="仿宋_GB2312" w:hAnsi="Times New Roman" w:cs="Times New Roman"/>
          <w:sz w:val="32"/>
          <w:szCs w:val="32"/>
        </w:rPr>
        <w:t>以习近平新时代中国特色社会主义思想为指导，贯彻习近平生态文明思想，落实党的十九大和十九届历次全会精神，深入落实习近平总书记对江苏工作重要讲话指示精神，紧扣</w:t>
      </w:r>
      <w:r w:rsidRPr="00E51CD2">
        <w:rPr>
          <w:rFonts w:ascii="Times New Roman" w:eastAsia="仿宋_GB2312" w:hAnsi="Times New Roman" w:cs="Times New Roman"/>
          <w:sz w:val="32"/>
          <w:szCs w:val="32"/>
        </w:rPr>
        <w:t>“</w:t>
      </w:r>
      <w:r w:rsidRPr="00E51CD2">
        <w:rPr>
          <w:rFonts w:ascii="Times New Roman" w:eastAsia="仿宋_GB2312" w:hAnsi="Times New Roman" w:cs="Times New Roman"/>
          <w:sz w:val="32"/>
          <w:szCs w:val="32"/>
        </w:rPr>
        <w:t>强富美高</w:t>
      </w:r>
      <w:r w:rsidRPr="00E51CD2">
        <w:rPr>
          <w:rFonts w:ascii="Times New Roman" w:eastAsia="仿宋_GB2312" w:hAnsi="Times New Roman" w:cs="Times New Roman"/>
          <w:sz w:val="32"/>
          <w:szCs w:val="32"/>
        </w:rPr>
        <w:t>”</w:t>
      </w:r>
      <w:r w:rsidRPr="00E51CD2">
        <w:rPr>
          <w:rFonts w:ascii="Times New Roman" w:eastAsia="仿宋_GB2312" w:hAnsi="Times New Roman" w:cs="Times New Roman"/>
          <w:sz w:val="32"/>
          <w:szCs w:val="32"/>
        </w:rPr>
        <w:t>总目标，深入贯彻新发展理念，强化资源保障能力，提高资源开发利用与保护水平，构建矿业绿色发展新格局，全力服务于无锡高质量发展走在前列。</w:t>
      </w:r>
    </w:p>
    <w:p w:rsidR="00E51CD2" w:rsidRPr="00E51CD2" w:rsidRDefault="00E51CD2" w:rsidP="00E51CD2">
      <w:pPr>
        <w:spacing w:line="560" w:lineRule="exact"/>
        <w:ind w:firstLineChars="196" w:firstLine="627"/>
        <w:rPr>
          <w:rFonts w:ascii="黑体" w:eastAsia="黑体" w:hAnsi="黑体"/>
          <w:bCs/>
          <w:sz w:val="32"/>
          <w:szCs w:val="32"/>
        </w:rPr>
      </w:pPr>
      <w:r w:rsidRPr="00E51CD2">
        <w:rPr>
          <w:rFonts w:ascii="黑体" w:eastAsia="黑体" w:hAnsi="黑体" w:hint="eastAsia"/>
          <w:bCs/>
          <w:sz w:val="32"/>
          <w:szCs w:val="32"/>
        </w:rPr>
        <w:t xml:space="preserve">三、基本原则 </w:t>
      </w:r>
    </w:p>
    <w:p w:rsidR="00E51CD2" w:rsidRPr="00491142" w:rsidRDefault="00F40331" w:rsidP="00491142">
      <w:pPr>
        <w:spacing w:line="560" w:lineRule="exact"/>
        <w:ind w:firstLineChars="147" w:firstLine="470"/>
        <w:rPr>
          <w:rFonts w:ascii="仿宋_GB2312" w:eastAsia="仿宋_GB2312" w:hAnsi="黑体"/>
          <w:sz w:val="32"/>
          <w:szCs w:val="32"/>
        </w:rPr>
      </w:pPr>
      <w:r>
        <w:rPr>
          <w:rFonts w:ascii="仿宋_GB2312" w:eastAsia="仿宋_GB2312" w:hAnsi="黑体" w:hint="eastAsia"/>
          <w:bCs/>
          <w:sz w:val="32"/>
          <w:szCs w:val="32"/>
        </w:rPr>
        <w:t>(一)</w:t>
      </w:r>
      <w:r w:rsidR="00E51CD2" w:rsidRPr="00491142">
        <w:rPr>
          <w:rFonts w:ascii="仿宋_GB2312" w:eastAsia="仿宋_GB2312" w:hAnsi="黑体" w:hint="eastAsia"/>
          <w:bCs/>
          <w:sz w:val="32"/>
          <w:szCs w:val="32"/>
        </w:rPr>
        <w:t>坚守底线 强化保障</w:t>
      </w:r>
    </w:p>
    <w:p w:rsidR="00E51CD2" w:rsidRPr="00491142" w:rsidRDefault="00F40331" w:rsidP="00491142">
      <w:pPr>
        <w:spacing w:line="560" w:lineRule="exact"/>
        <w:ind w:firstLineChars="147" w:firstLine="470"/>
        <w:rPr>
          <w:rFonts w:ascii="仿宋_GB2312" w:eastAsia="仿宋_GB2312" w:hAnsi="黑体"/>
          <w:sz w:val="32"/>
          <w:szCs w:val="32"/>
        </w:rPr>
      </w:pPr>
      <w:r>
        <w:rPr>
          <w:rFonts w:ascii="仿宋_GB2312" w:eastAsia="仿宋_GB2312" w:hAnsi="黑体" w:hint="eastAsia"/>
          <w:bCs/>
          <w:sz w:val="32"/>
          <w:szCs w:val="32"/>
        </w:rPr>
        <w:t>(二)</w:t>
      </w:r>
      <w:r w:rsidR="00E51CD2" w:rsidRPr="00491142">
        <w:rPr>
          <w:rFonts w:ascii="仿宋_GB2312" w:eastAsia="仿宋_GB2312" w:hAnsi="黑体" w:hint="eastAsia"/>
          <w:bCs/>
          <w:sz w:val="32"/>
          <w:szCs w:val="32"/>
        </w:rPr>
        <w:t xml:space="preserve">生态优先 绿色发展 </w:t>
      </w:r>
    </w:p>
    <w:p w:rsidR="00E51CD2" w:rsidRPr="00491142" w:rsidRDefault="00F40331" w:rsidP="00491142">
      <w:pPr>
        <w:spacing w:line="560" w:lineRule="exact"/>
        <w:ind w:firstLineChars="147" w:firstLine="470"/>
        <w:rPr>
          <w:rFonts w:ascii="仿宋_GB2312" w:eastAsia="仿宋_GB2312" w:hAnsi="黑体"/>
          <w:bCs/>
          <w:sz w:val="32"/>
          <w:szCs w:val="32"/>
        </w:rPr>
      </w:pPr>
      <w:r>
        <w:rPr>
          <w:rFonts w:ascii="仿宋_GB2312" w:eastAsia="仿宋_GB2312" w:hAnsi="黑体" w:hint="eastAsia"/>
          <w:bCs/>
          <w:sz w:val="32"/>
          <w:szCs w:val="32"/>
        </w:rPr>
        <w:t>(三)</w:t>
      </w:r>
      <w:r w:rsidR="00E51CD2" w:rsidRPr="00491142">
        <w:rPr>
          <w:rFonts w:ascii="仿宋_GB2312" w:eastAsia="仿宋_GB2312" w:hAnsi="黑体" w:hint="eastAsia"/>
          <w:bCs/>
          <w:sz w:val="32"/>
          <w:szCs w:val="32"/>
        </w:rPr>
        <w:t xml:space="preserve">节约集约 高效利用 </w:t>
      </w:r>
    </w:p>
    <w:p w:rsidR="00E51CD2" w:rsidRDefault="00F40331" w:rsidP="00491142">
      <w:pPr>
        <w:spacing w:line="560" w:lineRule="exact"/>
        <w:ind w:firstLineChars="147" w:firstLine="470"/>
        <w:rPr>
          <w:rFonts w:ascii="仿宋_GB2312" w:eastAsia="仿宋_GB2312" w:hAnsi="黑体"/>
          <w:bCs/>
          <w:sz w:val="32"/>
          <w:szCs w:val="32"/>
        </w:rPr>
      </w:pPr>
      <w:r>
        <w:rPr>
          <w:rFonts w:ascii="仿宋_GB2312" w:eastAsia="仿宋_GB2312" w:hAnsi="黑体" w:hint="eastAsia"/>
          <w:bCs/>
          <w:sz w:val="32"/>
          <w:szCs w:val="32"/>
        </w:rPr>
        <w:t>(四)</w:t>
      </w:r>
      <w:r w:rsidR="00E51CD2" w:rsidRPr="00491142">
        <w:rPr>
          <w:rFonts w:ascii="仿宋_GB2312" w:eastAsia="仿宋_GB2312" w:hAnsi="黑体" w:hint="eastAsia"/>
          <w:bCs/>
          <w:sz w:val="32"/>
          <w:szCs w:val="32"/>
        </w:rPr>
        <w:t xml:space="preserve">改革创新 完善机制 </w:t>
      </w:r>
    </w:p>
    <w:p w:rsidR="00491142" w:rsidRDefault="00491142" w:rsidP="00491142">
      <w:pPr>
        <w:spacing w:line="560" w:lineRule="exact"/>
        <w:ind w:firstLineChars="196" w:firstLine="627"/>
        <w:rPr>
          <w:rFonts w:ascii="黑体" w:eastAsia="黑体" w:hAnsi="黑体"/>
          <w:bCs/>
          <w:sz w:val="32"/>
          <w:szCs w:val="32"/>
        </w:rPr>
      </w:pPr>
      <w:r w:rsidRPr="00491142">
        <w:rPr>
          <w:rFonts w:ascii="黑体" w:eastAsia="黑体" w:hAnsi="黑体" w:hint="eastAsia"/>
          <w:bCs/>
          <w:sz w:val="32"/>
          <w:szCs w:val="32"/>
        </w:rPr>
        <w:t>四、主要规划目标</w:t>
      </w:r>
    </w:p>
    <w:tbl>
      <w:tblPr>
        <w:tblStyle w:val="a5"/>
        <w:tblW w:w="0" w:type="auto"/>
        <w:tblLook w:val="04A0"/>
      </w:tblPr>
      <w:tblGrid>
        <w:gridCol w:w="4261"/>
        <w:gridCol w:w="4261"/>
      </w:tblGrid>
      <w:tr w:rsidR="00491142" w:rsidTr="00491142">
        <w:tc>
          <w:tcPr>
            <w:tcW w:w="4261" w:type="dxa"/>
          </w:tcPr>
          <w:p w:rsidR="00491142" w:rsidRPr="00CC4DB8" w:rsidRDefault="00491142" w:rsidP="00CC4DB8">
            <w:pPr>
              <w:spacing w:line="560" w:lineRule="exact"/>
              <w:jc w:val="center"/>
              <w:rPr>
                <w:rFonts w:ascii="黑体" w:eastAsia="黑体" w:hAnsi="黑体"/>
                <w:bCs/>
                <w:sz w:val="32"/>
                <w:szCs w:val="32"/>
              </w:rPr>
            </w:pPr>
            <w:r w:rsidRPr="00CC4DB8">
              <w:rPr>
                <w:rFonts w:ascii="黑体" w:eastAsia="黑体" w:hAnsi="黑体" w:hint="eastAsia"/>
                <w:bCs/>
                <w:sz w:val="32"/>
                <w:szCs w:val="32"/>
              </w:rPr>
              <w:t>规划指标</w:t>
            </w:r>
          </w:p>
        </w:tc>
        <w:tc>
          <w:tcPr>
            <w:tcW w:w="4261" w:type="dxa"/>
          </w:tcPr>
          <w:p w:rsidR="00491142" w:rsidRPr="00CC4DB8" w:rsidRDefault="00491142" w:rsidP="00CC4DB8">
            <w:pPr>
              <w:spacing w:line="560" w:lineRule="exact"/>
              <w:jc w:val="center"/>
              <w:rPr>
                <w:rFonts w:ascii="黑体" w:eastAsia="黑体" w:hAnsi="黑体" w:cs="Times New Roman"/>
                <w:bCs/>
                <w:sz w:val="32"/>
                <w:szCs w:val="32"/>
              </w:rPr>
            </w:pPr>
            <w:r w:rsidRPr="00CC4DB8">
              <w:rPr>
                <w:rFonts w:ascii="黑体" w:eastAsia="黑体" w:hAnsi="黑体" w:cs="Times New Roman"/>
                <w:bCs/>
                <w:sz w:val="32"/>
                <w:szCs w:val="32"/>
              </w:rPr>
              <w:t>至2025年目标</w:t>
            </w:r>
          </w:p>
        </w:tc>
      </w:tr>
      <w:tr w:rsidR="00491142" w:rsidTr="00491142">
        <w:tc>
          <w:tcPr>
            <w:tcW w:w="4261" w:type="dxa"/>
          </w:tcPr>
          <w:p w:rsidR="00491142" w:rsidRPr="008736CB" w:rsidRDefault="00491142" w:rsidP="00491142">
            <w:pPr>
              <w:spacing w:line="560" w:lineRule="exact"/>
              <w:rPr>
                <w:rFonts w:ascii="仿宋_GB2312" w:eastAsia="仿宋_GB2312" w:hAnsi="黑体"/>
                <w:bCs/>
                <w:sz w:val="28"/>
                <w:szCs w:val="28"/>
              </w:rPr>
            </w:pPr>
            <w:r w:rsidRPr="008736CB">
              <w:rPr>
                <w:rFonts w:ascii="仿宋_GB2312" w:eastAsia="仿宋_GB2312" w:hAnsi="黑体" w:hint="eastAsia"/>
                <w:bCs/>
                <w:sz w:val="28"/>
                <w:szCs w:val="28"/>
              </w:rPr>
              <w:lastRenderedPageBreak/>
              <w:t>年开采总量</w:t>
            </w:r>
          </w:p>
        </w:tc>
        <w:tc>
          <w:tcPr>
            <w:tcW w:w="4261" w:type="dxa"/>
          </w:tcPr>
          <w:p w:rsidR="00491142" w:rsidRPr="008736CB" w:rsidRDefault="00CC4DB8" w:rsidP="00491142">
            <w:pPr>
              <w:spacing w:line="560" w:lineRule="exact"/>
              <w:rPr>
                <w:rFonts w:ascii="Times New Roman" w:eastAsia="仿宋_GB2312" w:hAnsi="Times New Roman" w:cs="Times New Roman"/>
                <w:bCs/>
                <w:sz w:val="28"/>
                <w:szCs w:val="28"/>
              </w:rPr>
            </w:pPr>
            <w:r w:rsidRPr="008736CB">
              <w:rPr>
                <w:rFonts w:ascii="Times New Roman" w:eastAsia="仿宋_GB2312" w:hAnsi="Times New Roman" w:cs="Times New Roman"/>
                <w:bCs/>
                <w:sz w:val="28"/>
                <w:szCs w:val="28"/>
              </w:rPr>
              <w:t>≤740</w:t>
            </w:r>
            <w:r w:rsidRPr="008736CB">
              <w:rPr>
                <w:rFonts w:ascii="Times New Roman" w:eastAsia="仿宋_GB2312" w:hAnsi="Times New Roman" w:cs="Times New Roman"/>
                <w:bCs/>
                <w:sz w:val="28"/>
                <w:szCs w:val="28"/>
              </w:rPr>
              <w:t>万吨</w:t>
            </w:r>
          </w:p>
        </w:tc>
      </w:tr>
      <w:tr w:rsidR="00491142" w:rsidTr="00491142">
        <w:tc>
          <w:tcPr>
            <w:tcW w:w="4261" w:type="dxa"/>
          </w:tcPr>
          <w:p w:rsidR="00491142" w:rsidRPr="008736CB" w:rsidRDefault="00491142" w:rsidP="00491142">
            <w:pPr>
              <w:spacing w:line="560" w:lineRule="exact"/>
              <w:rPr>
                <w:rFonts w:ascii="仿宋_GB2312" w:eastAsia="仿宋_GB2312" w:hAnsi="黑体"/>
                <w:bCs/>
                <w:sz w:val="28"/>
                <w:szCs w:val="28"/>
              </w:rPr>
            </w:pPr>
            <w:r w:rsidRPr="008736CB">
              <w:rPr>
                <w:rFonts w:ascii="仿宋_GB2312" w:eastAsia="仿宋_GB2312" w:hAnsi="黑体" w:hint="eastAsia"/>
                <w:bCs/>
                <w:sz w:val="28"/>
                <w:szCs w:val="28"/>
              </w:rPr>
              <w:t>矿山数量</w:t>
            </w:r>
          </w:p>
        </w:tc>
        <w:tc>
          <w:tcPr>
            <w:tcW w:w="4261" w:type="dxa"/>
          </w:tcPr>
          <w:p w:rsidR="00491142" w:rsidRPr="008736CB" w:rsidRDefault="00CC4DB8" w:rsidP="00491142">
            <w:pPr>
              <w:spacing w:line="560" w:lineRule="exact"/>
              <w:rPr>
                <w:rFonts w:ascii="Times New Roman" w:eastAsia="仿宋_GB2312" w:hAnsi="Times New Roman" w:cs="Times New Roman"/>
                <w:bCs/>
                <w:sz w:val="28"/>
                <w:szCs w:val="28"/>
              </w:rPr>
            </w:pPr>
            <w:r w:rsidRPr="008736CB">
              <w:rPr>
                <w:rFonts w:ascii="Times New Roman" w:eastAsia="仿宋_GB2312" w:hAnsi="Times New Roman" w:cs="Times New Roman"/>
                <w:bCs/>
                <w:sz w:val="28"/>
                <w:szCs w:val="28"/>
              </w:rPr>
              <w:t>≤11</w:t>
            </w:r>
            <w:r w:rsidRPr="008736CB">
              <w:rPr>
                <w:rFonts w:ascii="Times New Roman" w:eastAsia="仿宋_GB2312" w:hAnsi="Times New Roman" w:cs="Times New Roman"/>
                <w:bCs/>
                <w:sz w:val="28"/>
                <w:szCs w:val="28"/>
              </w:rPr>
              <w:t>个</w:t>
            </w:r>
          </w:p>
        </w:tc>
      </w:tr>
      <w:tr w:rsidR="00CC4DB8" w:rsidTr="00CC4DB8">
        <w:tc>
          <w:tcPr>
            <w:tcW w:w="4261" w:type="dxa"/>
            <w:vMerge w:val="restart"/>
            <w:vAlign w:val="center"/>
          </w:tcPr>
          <w:p w:rsidR="00CC4DB8" w:rsidRPr="008736CB" w:rsidRDefault="00CC4DB8" w:rsidP="00CC4DB8">
            <w:pPr>
              <w:spacing w:line="560" w:lineRule="exact"/>
              <w:rPr>
                <w:rFonts w:ascii="仿宋_GB2312" w:eastAsia="仿宋_GB2312" w:hAnsi="黑体"/>
                <w:bCs/>
                <w:sz w:val="28"/>
                <w:szCs w:val="28"/>
              </w:rPr>
            </w:pPr>
            <w:r w:rsidRPr="008736CB">
              <w:rPr>
                <w:rFonts w:ascii="仿宋_GB2312" w:eastAsia="仿宋_GB2312" w:hAnsi="黑体" w:hint="eastAsia"/>
                <w:bCs/>
                <w:sz w:val="28"/>
                <w:szCs w:val="28"/>
              </w:rPr>
              <w:t>大中型矿山比例</w:t>
            </w:r>
          </w:p>
        </w:tc>
        <w:tc>
          <w:tcPr>
            <w:tcW w:w="4261" w:type="dxa"/>
          </w:tcPr>
          <w:p w:rsidR="00CC4DB8" w:rsidRPr="008736CB" w:rsidRDefault="00CC4DB8" w:rsidP="00491142">
            <w:pPr>
              <w:spacing w:line="560" w:lineRule="exact"/>
              <w:rPr>
                <w:rFonts w:ascii="Times New Roman" w:eastAsia="仿宋_GB2312" w:hAnsi="Times New Roman" w:cs="Times New Roman"/>
                <w:bCs/>
                <w:sz w:val="28"/>
                <w:szCs w:val="28"/>
              </w:rPr>
            </w:pPr>
            <w:r w:rsidRPr="008736CB">
              <w:rPr>
                <w:rFonts w:ascii="Times New Roman" w:eastAsia="仿宋_GB2312" w:hAnsi="Times New Roman" w:cs="Times New Roman"/>
                <w:bCs/>
                <w:sz w:val="28"/>
                <w:szCs w:val="28"/>
              </w:rPr>
              <w:t>全部矿种</w:t>
            </w:r>
            <w:r w:rsidRPr="008736CB">
              <w:rPr>
                <w:rFonts w:ascii="Times New Roman" w:eastAsia="仿宋_GB2312" w:hAnsi="Times New Roman" w:cs="Times New Roman" w:hint="eastAsia"/>
                <w:bCs/>
                <w:sz w:val="28"/>
                <w:szCs w:val="28"/>
              </w:rPr>
              <w:t>≥</w:t>
            </w:r>
            <w:r w:rsidRPr="008736CB">
              <w:rPr>
                <w:rFonts w:ascii="Times New Roman" w:eastAsia="仿宋_GB2312" w:hAnsi="Times New Roman" w:cs="Times New Roman" w:hint="eastAsia"/>
                <w:bCs/>
                <w:sz w:val="28"/>
                <w:szCs w:val="28"/>
              </w:rPr>
              <w:t>30%</w:t>
            </w:r>
          </w:p>
        </w:tc>
      </w:tr>
      <w:tr w:rsidR="00CC4DB8" w:rsidTr="00491142">
        <w:tc>
          <w:tcPr>
            <w:tcW w:w="4261" w:type="dxa"/>
            <w:vMerge/>
          </w:tcPr>
          <w:p w:rsidR="00CC4DB8" w:rsidRPr="008736CB" w:rsidRDefault="00CC4DB8" w:rsidP="00491142">
            <w:pPr>
              <w:spacing w:line="560" w:lineRule="exact"/>
              <w:rPr>
                <w:rFonts w:ascii="仿宋_GB2312" w:eastAsia="仿宋_GB2312" w:hAnsi="黑体"/>
                <w:bCs/>
                <w:sz w:val="28"/>
                <w:szCs w:val="28"/>
              </w:rPr>
            </w:pPr>
          </w:p>
        </w:tc>
        <w:tc>
          <w:tcPr>
            <w:tcW w:w="4261" w:type="dxa"/>
          </w:tcPr>
          <w:p w:rsidR="00CC4DB8" w:rsidRPr="008736CB" w:rsidRDefault="00CC4DB8" w:rsidP="00491142">
            <w:pPr>
              <w:spacing w:line="560" w:lineRule="exact"/>
              <w:rPr>
                <w:rFonts w:ascii="Times New Roman" w:eastAsia="仿宋_GB2312" w:hAnsi="Times New Roman" w:cs="Times New Roman"/>
                <w:bCs/>
                <w:sz w:val="28"/>
                <w:szCs w:val="28"/>
              </w:rPr>
            </w:pPr>
            <w:r w:rsidRPr="008736CB">
              <w:rPr>
                <w:rFonts w:ascii="Times New Roman" w:eastAsia="仿宋_GB2312" w:hAnsi="Times New Roman" w:cs="Times New Roman"/>
                <w:bCs/>
                <w:sz w:val="28"/>
                <w:szCs w:val="28"/>
              </w:rPr>
              <w:t>矿体矿产</w:t>
            </w:r>
            <w:r w:rsidRPr="008736CB">
              <w:rPr>
                <w:rFonts w:ascii="Times New Roman" w:eastAsia="仿宋_GB2312" w:hAnsi="Times New Roman" w:cs="Times New Roman" w:hint="eastAsia"/>
                <w:bCs/>
                <w:sz w:val="28"/>
                <w:szCs w:val="28"/>
              </w:rPr>
              <w:t>100%</w:t>
            </w:r>
          </w:p>
        </w:tc>
      </w:tr>
      <w:tr w:rsidR="00CC4DB8" w:rsidTr="00CC4DB8">
        <w:tc>
          <w:tcPr>
            <w:tcW w:w="4261" w:type="dxa"/>
            <w:vMerge w:val="restart"/>
            <w:vAlign w:val="center"/>
          </w:tcPr>
          <w:p w:rsidR="00CC4DB8" w:rsidRPr="008736CB" w:rsidRDefault="00CC4DB8" w:rsidP="00CC4DB8">
            <w:pPr>
              <w:spacing w:line="560" w:lineRule="exact"/>
              <w:rPr>
                <w:rFonts w:ascii="仿宋_GB2312" w:eastAsia="仿宋_GB2312" w:hAnsi="黑体"/>
                <w:bCs/>
                <w:sz w:val="28"/>
                <w:szCs w:val="28"/>
              </w:rPr>
            </w:pPr>
            <w:r w:rsidRPr="008736CB">
              <w:rPr>
                <w:rFonts w:ascii="仿宋_GB2312" w:eastAsia="仿宋_GB2312" w:hAnsi="黑体" w:hint="eastAsia"/>
                <w:bCs/>
                <w:sz w:val="28"/>
                <w:szCs w:val="28"/>
              </w:rPr>
              <w:t>绿色矿山建成比例</w:t>
            </w:r>
          </w:p>
        </w:tc>
        <w:tc>
          <w:tcPr>
            <w:tcW w:w="4261" w:type="dxa"/>
          </w:tcPr>
          <w:p w:rsidR="00CC4DB8" w:rsidRPr="008736CB" w:rsidRDefault="00CC4DB8" w:rsidP="00491142">
            <w:pPr>
              <w:spacing w:line="560" w:lineRule="exact"/>
              <w:rPr>
                <w:rFonts w:ascii="Times New Roman" w:eastAsia="仿宋_GB2312" w:hAnsi="Times New Roman" w:cs="Times New Roman"/>
                <w:bCs/>
                <w:sz w:val="28"/>
                <w:szCs w:val="28"/>
              </w:rPr>
            </w:pPr>
            <w:r w:rsidRPr="008736CB">
              <w:rPr>
                <w:rFonts w:ascii="Times New Roman" w:eastAsia="仿宋_GB2312" w:hAnsi="Times New Roman" w:cs="Times New Roman"/>
                <w:bCs/>
                <w:sz w:val="28"/>
                <w:szCs w:val="28"/>
              </w:rPr>
              <w:t>大中型</w:t>
            </w:r>
            <w:r w:rsidRPr="008736CB">
              <w:rPr>
                <w:rFonts w:ascii="Times New Roman" w:eastAsia="仿宋_GB2312" w:hAnsi="Times New Roman" w:cs="Times New Roman"/>
                <w:bCs/>
                <w:sz w:val="28"/>
                <w:szCs w:val="28"/>
              </w:rPr>
              <w:t>100%</w:t>
            </w:r>
          </w:p>
        </w:tc>
      </w:tr>
      <w:tr w:rsidR="00CC4DB8" w:rsidTr="00491142">
        <w:tc>
          <w:tcPr>
            <w:tcW w:w="4261" w:type="dxa"/>
            <w:vMerge/>
          </w:tcPr>
          <w:p w:rsidR="00CC4DB8" w:rsidRPr="008736CB" w:rsidRDefault="00CC4DB8" w:rsidP="00491142">
            <w:pPr>
              <w:spacing w:line="560" w:lineRule="exact"/>
              <w:rPr>
                <w:rFonts w:ascii="仿宋_GB2312" w:eastAsia="仿宋_GB2312" w:hAnsi="黑体"/>
                <w:bCs/>
                <w:sz w:val="28"/>
                <w:szCs w:val="28"/>
              </w:rPr>
            </w:pPr>
          </w:p>
        </w:tc>
        <w:tc>
          <w:tcPr>
            <w:tcW w:w="4261" w:type="dxa"/>
          </w:tcPr>
          <w:p w:rsidR="00CC4DB8" w:rsidRPr="008736CB" w:rsidRDefault="00CC4DB8" w:rsidP="00491142">
            <w:pPr>
              <w:spacing w:line="560" w:lineRule="exact"/>
              <w:rPr>
                <w:rFonts w:ascii="Times New Roman" w:eastAsia="仿宋_GB2312" w:hAnsi="Times New Roman" w:cs="Times New Roman"/>
                <w:bCs/>
                <w:sz w:val="28"/>
                <w:szCs w:val="28"/>
              </w:rPr>
            </w:pPr>
            <w:r w:rsidRPr="008736CB">
              <w:rPr>
                <w:rFonts w:ascii="Times New Roman" w:eastAsia="仿宋_GB2312" w:hAnsi="Times New Roman" w:cs="Times New Roman"/>
                <w:bCs/>
                <w:sz w:val="28"/>
                <w:szCs w:val="28"/>
              </w:rPr>
              <w:t>小型</w:t>
            </w:r>
            <w:r w:rsidRPr="008736CB">
              <w:rPr>
                <w:rFonts w:ascii="Times New Roman" w:eastAsia="仿宋_GB2312" w:hAnsi="Times New Roman" w:cs="Times New Roman"/>
                <w:bCs/>
                <w:sz w:val="28"/>
                <w:szCs w:val="28"/>
              </w:rPr>
              <w:t>≥50%</w:t>
            </w:r>
          </w:p>
        </w:tc>
      </w:tr>
    </w:tbl>
    <w:p w:rsidR="00491142" w:rsidRDefault="00CC4DB8" w:rsidP="00491142">
      <w:pPr>
        <w:spacing w:line="560" w:lineRule="exact"/>
        <w:ind w:firstLineChars="196" w:firstLine="627"/>
        <w:rPr>
          <w:rFonts w:ascii="黑体" w:eastAsia="黑体" w:hAnsi="黑体"/>
          <w:bCs/>
          <w:sz w:val="32"/>
          <w:szCs w:val="32"/>
        </w:rPr>
      </w:pPr>
      <w:r>
        <w:rPr>
          <w:rFonts w:ascii="黑体" w:eastAsia="黑体" w:hAnsi="黑体" w:hint="eastAsia"/>
          <w:bCs/>
          <w:sz w:val="32"/>
          <w:szCs w:val="32"/>
        </w:rPr>
        <w:t>五、规划主要部署</w:t>
      </w:r>
    </w:p>
    <w:p w:rsidR="00CC4DB8" w:rsidRPr="00CC4DB8" w:rsidRDefault="00CC4DB8" w:rsidP="00CC4DB8">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w:t>
      </w:r>
      <w:r w:rsidRPr="00CC4DB8">
        <w:rPr>
          <w:rFonts w:ascii="仿宋_GB2312" w:eastAsia="仿宋_GB2312" w:hAnsi="黑体" w:hint="eastAsia"/>
          <w:bCs/>
          <w:sz w:val="32"/>
          <w:szCs w:val="32"/>
        </w:rPr>
        <w:t>一</w:t>
      </w:r>
      <w:r>
        <w:rPr>
          <w:rFonts w:ascii="仿宋_GB2312" w:eastAsia="仿宋_GB2312" w:hAnsi="黑体" w:hint="eastAsia"/>
          <w:bCs/>
          <w:sz w:val="32"/>
          <w:szCs w:val="32"/>
        </w:rPr>
        <w:t>)</w:t>
      </w:r>
      <w:r w:rsidRPr="00CC4DB8">
        <w:rPr>
          <w:rFonts w:ascii="仿宋_GB2312" w:eastAsia="仿宋_GB2312" w:hAnsi="黑体" w:hint="eastAsia"/>
          <w:bCs/>
          <w:sz w:val="32"/>
          <w:szCs w:val="32"/>
        </w:rPr>
        <w:t>矿产调查评价与勘查</w:t>
      </w:r>
    </w:p>
    <w:p w:rsidR="00CC4DB8" w:rsidRPr="00A4093E" w:rsidRDefault="0032216A" w:rsidP="00CC4DB8">
      <w:pPr>
        <w:spacing w:line="560" w:lineRule="exact"/>
        <w:ind w:firstLineChars="196" w:firstLine="627"/>
        <w:rPr>
          <w:rFonts w:ascii="Times New Roman" w:eastAsia="仿宋_GB2312" w:hAnsi="Times New Roman" w:cs="Times New Roman"/>
          <w:bCs/>
          <w:sz w:val="32"/>
          <w:szCs w:val="32"/>
        </w:rPr>
      </w:pPr>
      <w:r w:rsidRPr="00A4093E">
        <w:rPr>
          <w:rFonts w:ascii="Times New Roman" w:eastAsia="仿宋_GB2312" w:hAnsi="Times New Roman" w:cs="Times New Roman"/>
          <w:bCs/>
          <w:sz w:val="32"/>
          <w:szCs w:val="32"/>
        </w:rPr>
        <w:t>1.</w:t>
      </w:r>
      <w:r w:rsidR="00CC4DB8" w:rsidRPr="00A4093E">
        <w:rPr>
          <w:rFonts w:ascii="Times New Roman" w:eastAsia="仿宋_GB2312" w:hAnsi="Times New Roman" w:cs="Times New Roman"/>
          <w:bCs/>
          <w:sz w:val="32"/>
          <w:szCs w:val="32"/>
        </w:rPr>
        <w:t>重点调查评价区：配合落实省级总体规划部署，以页岩气为对象，在无锡北部地区划定</w:t>
      </w:r>
      <w:r w:rsidR="00CC4DB8" w:rsidRPr="00A4093E">
        <w:rPr>
          <w:rFonts w:ascii="Times New Roman" w:eastAsia="仿宋_GB2312" w:hAnsi="Times New Roman" w:cs="Times New Roman"/>
          <w:bCs/>
          <w:sz w:val="32"/>
          <w:szCs w:val="32"/>
        </w:rPr>
        <w:t>1</w:t>
      </w:r>
      <w:r w:rsidR="00CC4DB8" w:rsidRPr="00A4093E">
        <w:rPr>
          <w:rFonts w:ascii="Times New Roman" w:eastAsia="仿宋_GB2312" w:hAnsi="Times New Roman" w:cs="Times New Roman"/>
          <w:bCs/>
          <w:sz w:val="32"/>
          <w:szCs w:val="32"/>
        </w:rPr>
        <w:t>个调查评价区，圈定成矿有利地段及找矿靶区。</w:t>
      </w:r>
    </w:p>
    <w:p w:rsidR="00CC4DB8" w:rsidRPr="00A4093E" w:rsidRDefault="0032216A" w:rsidP="00CC4DB8">
      <w:pPr>
        <w:spacing w:line="560" w:lineRule="exact"/>
        <w:ind w:firstLineChars="196" w:firstLine="627"/>
        <w:rPr>
          <w:rFonts w:ascii="Times New Roman" w:eastAsia="仿宋_GB2312" w:hAnsi="Times New Roman" w:cs="Times New Roman"/>
          <w:bCs/>
          <w:sz w:val="32"/>
          <w:szCs w:val="32"/>
        </w:rPr>
      </w:pPr>
      <w:r w:rsidRPr="00A4093E">
        <w:rPr>
          <w:rFonts w:ascii="Times New Roman" w:eastAsia="仿宋_GB2312" w:hAnsi="Times New Roman" w:cs="Times New Roman"/>
          <w:bCs/>
          <w:sz w:val="32"/>
          <w:szCs w:val="32"/>
        </w:rPr>
        <w:t>2.</w:t>
      </w:r>
      <w:r w:rsidR="00CC4DB8" w:rsidRPr="00A4093E">
        <w:rPr>
          <w:rFonts w:ascii="Times New Roman" w:eastAsia="仿宋_GB2312" w:hAnsi="Times New Roman" w:cs="Times New Roman"/>
          <w:bCs/>
          <w:sz w:val="32"/>
          <w:szCs w:val="32"/>
        </w:rPr>
        <w:t>勘查规划区块：根据矿产资源禀赋和开发需求，以水泥用灰岩和陶瓷土为勘查目标，划定勘查规划区块</w:t>
      </w:r>
      <w:r w:rsidR="00CC4DB8" w:rsidRPr="00A4093E">
        <w:rPr>
          <w:rFonts w:ascii="Times New Roman" w:eastAsia="仿宋_GB2312" w:hAnsi="Times New Roman" w:cs="Times New Roman"/>
          <w:bCs/>
          <w:sz w:val="32"/>
          <w:szCs w:val="32"/>
        </w:rPr>
        <w:t>2</w:t>
      </w:r>
      <w:r w:rsidR="00CC4DB8" w:rsidRPr="00A4093E">
        <w:rPr>
          <w:rFonts w:ascii="Times New Roman" w:eastAsia="仿宋_GB2312" w:hAnsi="Times New Roman" w:cs="Times New Roman"/>
          <w:bCs/>
          <w:sz w:val="32"/>
          <w:szCs w:val="32"/>
        </w:rPr>
        <w:t>个。</w:t>
      </w:r>
      <w:r w:rsidR="00CC4DB8" w:rsidRPr="00A4093E">
        <w:rPr>
          <w:rFonts w:ascii="Times New Roman" w:eastAsia="仿宋_GB2312" w:hAnsi="Times New Roman" w:cs="Times New Roman"/>
          <w:bCs/>
          <w:sz w:val="32"/>
          <w:szCs w:val="32"/>
        </w:rPr>
        <w:t xml:space="preserve"> </w:t>
      </w:r>
    </w:p>
    <w:p w:rsidR="00CC4DB8" w:rsidRDefault="0032216A" w:rsidP="00CC4DB8">
      <w:pPr>
        <w:spacing w:line="560" w:lineRule="exact"/>
        <w:ind w:firstLineChars="196" w:firstLine="627"/>
        <w:rPr>
          <w:rFonts w:ascii="仿宋_GB2312" w:eastAsia="仿宋_GB2312" w:hAnsi="楷体"/>
          <w:bCs/>
          <w:sz w:val="32"/>
          <w:szCs w:val="32"/>
        </w:rPr>
      </w:pPr>
      <w:r w:rsidRPr="00A4093E">
        <w:rPr>
          <w:rFonts w:ascii="Times New Roman" w:eastAsia="仿宋_GB2312" w:hAnsi="Times New Roman" w:cs="Times New Roman"/>
          <w:bCs/>
          <w:sz w:val="32"/>
          <w:szCs w:val="32"/>
        </w:rPr>
        <w:t>3.</w:t>
      </w:r>
      <w:r w:rsidR="00CC4DB8" w:rsidRPr="00A4093E">
        <w:rPr>
          <w:rFonts w:ascii="Times New Roman" w:eastAsia="仿宋_GB2312" w:hAnsi="Times New Roman" w:cs="Times New Roman"/>
          <w:bCs/>
          <w:sz w:val="32"/>
          <w:szCs w:val="32"/>
        </w:rPr>
        <w:t>勘查准入管理</w:t>
      </w:r>
      <w:r w:rsidR="00CC4DB8">
        <w:rPr>
          <w:rFonts w:ascii="仿宋_GB2312" w:eastAsia="仿宋_GB2312" w:hAnsi="黑体" w:hint="eastAsia"/>
          <w:bCs/>
          <w:sz w:val="32"/>
          <w:szCs w:val="32"/>
        </w:rPr>
        <w:t>：</w:t>
      </w:r>
      <w:r w:rsidR="00CC4DB8" w:rsidRPr="00CC4DB8">
        <w:rPr>
          <w:rFonts w:ascii="楷体" w:eastAsia="楷体" w:hAnsi="楷体" w:hint="eastAsia"/>
          <w:bCs/>
          <w:sz w:val="32"/>
          <w:szCs w:val="32"/>
        </w:rPr>
        <w:t>资格准入</w:t>
      </w:r>
      <w:r w:rsidR="00CC4DB8">
        <w:rPr>
          <w:rFonts w:ascii="楷体" w:eastAsia="楷体" w:hAnsi="楷体" w:hint="eastAsia"/>
          <w:bCs/>
          <w:sz w:val="32"/>
          <w:szCs w:val="32"/>
        </w:rPr>
        <w:t>，</w:t>
      </w:r>
      <w:r w:rsidR="00CC4DB8" w:rsidRPr="00CC4DB8">
        <w:rPr>
          <w:rFonts w:ascii="仿宋_GB2312" w:eastAsia="仿宋_GB2312" w:hAnsi="楷体" w:hint="eastAsia"/>
          <w:bCs/>
          <w:sz w:val="32"/>
          <w:szCs w:val="32"/>
        </w:rPr>
        <w:t>探矿权申请人的资金能力应当与申请的勘查矿种、勘查面积和勘查工作阶段相适应</w:t>
      </w:r>
      <w:r w:rsidR="00CC4DB8">
        <w:rPr>
          <w:rFonts w:ascii="楷体" w:eastAsia="楷体" w:hAnsi="楷体" w:hint="eastAsia"/>
          <w:bCs/>
          <w:sz w:val="32"/>
          <w:szCs w:val="32"/>
        </w:rPr>
        <w:t>；</w:t>
      </w:r>
      <w:r w:rsidR="00CC4DB8" w:rsidRPr="00CC4DB8">
        <w:rPr>
          <w:rFonts w:ascii="楷体" w:eastAsia="楷体" w:hAnsi="楷体" w:hint="eastAsia"/>
          <w:bCs/>
          <w:sz w:val="32"/>
          <w:szCs w:val="32"/>
        </w:rPr>
        <w:t>空间准入</w:t>
      </w:r>
      <w:r w:rsidR="00CC4DB8">
        <w:rPr>
          <w:rFonts w:ascii="楷体" w:eastAsia="楷体" w:hAnsi="楷体" w:hint="eastAsia"/>
          <w:bCs/>
          <w:sz w:val="32"/>
          <w:szCs w:val="32"/>
        </w:rPr>
        <w:t>，</w:t>
      </w:r>
      <w:r w:rsidR="00CC4DB8" w:rsidRPr="00CC4DB8">
        <w:rPr>
          <w:rFonts w:ascii="仿宋_GB2312" w:eastAsia="仿宋_GB2312" w:hAnsi="楷体" w:hint="eastAsia"/>
          <w:bCs/>
          <w:sz w:val="32"/>
          <w:szCs w:val="32"/>
        </w:rPr>
        <w:t>矿产勘查部署应符合国土空间规划相关管控要求。一个区块设一个勘查主体</w:t>
      </w:r>
      <w:r w:rsidR="00CC4DB8">
        <w:rPr>
          <w:rFonts w:ascii="仿宋_GB2312" w:eastAsia="仿宋_GB2312" w:hAnsi="楷体" w:hint="eastAsia"/>
          <w:bCs/>
          <w:sz w:val="32"/>
          <w:szCs w:val="32"/>
        </w:rPr>
        <w:t>；</w:t>
      </w:r>
      <w:r w:rsidR="00CC4DB8" w:rsidRPr="00CC4DB8">
        <w:rPr>
          <w:rFonts w:ascii="楷体" w:eastAsia="楷体" w:hAnsi="楷体" w:hint="eastAsia"/>
          <w:bCs/>
          <w:sz w:val="32"/>
          <w:szCs w:val="32"/>
        </w:rPr>
        <w:t>环境准入</w:t>
      </w:r>
      <w:r w:rsidR="00CC4DB8">
        <w:rPr>
          <w:rFonts w:ascii="楷体" w:eastAsia="楷体" w:hAnsi="楷体" w:hint="eastAsia"/>
          <w:bCs/>
          <w:sz w:val="32"/>
          <w:szCs w:val="32"/>
        </w:rPr>
        <w:t>，</w:t>
      </w:r>
      <w:r w:rsidR="00CC4DB8" w:rsidRPr="00CC4DB8">
        <w:rPr>
          <w:rFonts w:ascii="仿宋_GB2312" w:eastAsia="仿宋_GB2312" w:hAnsi="楷体" w:hint="eastAsia"/>
          <w:bCs/>
          <w:sz w:val="32"/>
          <w:szCs w:val="32"/>
        </w:rPr>
        <w:t>勘查项目按照相关规定落实生态环境保护要求与措施。</w:t>
      </w:r>
    </w:p>
    <w:p w:rsidR="0032216A" w:rsidRDefault="0032216A" w:rsidP="0032216A">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(二)</w:t>
      </w:r>
      <w:r w:rsidRPr="00CC4DB8">
        <w:rPr>
          <w:rFonts w:ascii="仿宋_GB2312" w:eastAsia="仿宋_GB2312" w:hAnsi="黑体" w:hint="eastAsia"/>
          <w:bCs/>
          <w:sz w:val="32"/>
          <w:szCs w:val="32"/>
        </w:rPr>
        <w:t>矿产</w:t>
      </w:r>
      <w:r>
        <w:rPr>
          <w:rFonts w:ascii="仿宋_GB2312" w:eastAsia="仿宋_GB2312" w:hAnsi="黑体" w:hint="eastAsia"/>
          <w:bCs/>
          <w:sz w:val="32"/>
          <w:szCs w:val="32"/>
        </w:rPr>
        <w:t>开发利用与保护</w:t>
      </w:r>
    </w:p>
    <w:p w:rsidR="0032216A" w:rsidRPr="0032216A" w:rsidRDefault="0032216A" w:rsidP="0032216A">
      <w:pPr>
        <w:spacing w:line="560" w:lineRule="exact"/>
        <w:ind w:firstLineChars="150" w:firstLine="480"/>
        <w:rPr>
          <w:rFonts w:ascii="Times New Roman" w:eastAsia="仿宋_GB2312" w:hAnsi="Times New Roman" w:cs="Times New Roman"/>
          <w:bCs/>
          <w:sz w:val="32"/>
          <w:szCs w:val="32"/>
        </w:rPr>
      </w:pPr>
      <w:r w:rsidRPr="0032216A">
        <w:rPr>
          <w:rFonts w:ascii="Times New Roman" w:eastAsia="仿宋_GB2312" w:hAnsi="Times New Roman" w:cs="Times New Roman"/>
          <w:bCs/>
          <w:sz w:val="32"/>
          <w:szCs w:val="32"/>
        </w:rPr>
        <w:t>1</w:t>
      </w:r>
      <w:r>
        <w:rPr>
          <w:rFonts w:ascii="仿宋_GB2312" w:eastAsia="仿宋_GB2312" w:hAnsi="黑体" w:hint="eastAsia"/>
          <w:bCs/>
          <w:sz w:val="32"/>
          <w:szCs w:val="32"/>
        </w:rPr>
        <w:t>.</w:t>
      </w:r>
      <w:r w:rsidRPr="0032216A">
        <w:rPr>
          <w:rFonts w:ascii="Times New Roman" w:eastAsia="仿宋_GB2312" w:hAnsi="Times New Roman" w:cs="Times New Roman"/>
          <w:bCs/>
          <w:sz w:val="32"/>
          <w:szCs w:val="32"/>
        </w:rPr>
        <w:t>开山采石禁止开采区：贯彻落实省人大《关于限制开山采石的决定》，全市共划定</w:t>
      </w:r>
      <w:r w:rsidRPr="0032216A">
        <w:rPr>
          <w:rFonts w:ascii="Times New Roman" w:eastAsia="仿宋_GB2312" w:hAnsi="Times New Roman" w:cs="Times New Roman"/>
          <w:bCs/>
          <w:sz w:val="32"/>
          <w:szCs w:val="32"/>
        </w:rPr>
        <w:t>15</w:t>
      </w:r>
      <w:r w:rsidRPr="0032216A">
        <w:rPr>
          <w:rFonts w:ascii="Times New Roman" w:eastAsia="仿宋_GB2312" w:hAnsi="Times New Roman" w:cs="Times New Roman"/>
          <w:bCs/>
          <w:sz w:val="32"/>
          <w:szCs w:val="32"/>
        </w:rPr>
        <w:t>个开山采石禁止开采区（带），面积约</w:t>
      </w:r>
      <w:r w:rsidRPr="0032216A">
        <w:rPr>
          <w:rFonts w:ascii="Times New Roman" w:eastAsia="仿宋_GB2312" w:hAnsi="Times New Roman" w:cs="Times New Roman"/>
          <w:bCs/>
          <w:sz w:val="32"/>
          <w:szCs w:val="32"/>
        </w:rPr>
        <w:t>3283.6</w:t>
      </w:r>
      <w:r w:rsidRPr="0032216A">
        <w:rPr>
          <w:rFonts w:ascii="Times New Roman" w:eastAsia="仿宋_GB2312" w:hAnsi="Times New Roman" w:cs="Times New Roman"/>
          <w:bCs/>
          <w:sz w:val="32"/>
          <w:szCs w:val="32"/>
        </w:rPr>
        <w:t>平方千米。</w:t>
      </w:r>
      <w:r w:rsidRPr="0032216A">
        <w:rPr>
          <w:rFonts w:ascii="Times New Roman" w:eastAsia="仿宋_GB2312" w:hAnsi="Times New Roman" w:cs="Times New Roman"/>
          <w:bCs/>
          <w:sz w:val="32"/>
          <w:szCs w:val="32"/>
        </w:rPr>
        <w:t xml:space="preserve"> </w:t>
      </w:r>
    </w:p>
    <w:p w:rsidR="0032216A" w:rsidRPr="0032216A" w:rsidRDefault="0032216A" w:rsidP="0032216A">
      <w:pPr>
        <w:spacing w:line="560" w:lineRule="exact"/>
        <w:ind w:firstLineChars="150" w:firstLine="480"/>
        <w:rPr>
          <w:rFonts w:ascii="Times New Roman" w:eastAsia="仿宋_GB2312" w:hAnsi="Times New Roman" w:cs="Times New Roman"/>
          <w:bCs/>
          <w:sz w:val="32"/>
          <w:szCs w:val="32"/>
        </w:rPr>
      </w:pPr>
      <w:r w:rsidRPr="0032216A">
        <w:rPr>
          <w:rFonts w:ascii="Times New Roman" w:eastAsia="仿宋_GB2312" w:hAnsi="Times New Roman" w:cs="Times New Roman"/>
          <w:bCs/>
          <w:sz w:val="32"/>
          <w:szCs w:val="32"/>
        </w:rPr>
        <w:t>2</w:t>
      </w:r>
      <w:r>
        <w:rPr>
          <w:rFonts w:ascii="仿宋_GB2312" w:eastAsia="仿宋_GB2312" w:hAnsi="黑体" w:hint="eastAsia"/>
          <w:bCs/>
          <w:sz w:val="32"/>
          <w:szCs w:val="32"/>
        </w:rPr>
        <w:t>.</w:t>
      </w:r>
      <w:r w:rsidRPr="0032216A">
        <w:rPr>
          <w:rFonts w:ascii="Times New Roman" w:eastAsia="仿宋_GB2312" w:hAnsi="Times New Roman" w:cs="Times New Roman"/>
          <w:bCs/>
          <w:sz w:val="32"/>
          <w:szCs w:val="32"/>
        </w:rPr>
        <w:t>重点开采区：落实省级规划部署，以水泥用灰岩矿产为重点，在宜兴资源较为丰富集中的地区划定</w:t>
      </w:r>
      <w:r w:rsidRPr="0032216A">
        <w:rPr>
          <w:rFonts w:ascii="Times New Roman" w:eastAsia="仿宋_GB2312" w:hAnsi="Times New Roman" w:cs="Times New Roman"/>
          <w:bCs/>
          <w:sz w:val="32"/>
          <w:szCs w:val="32"/>
        </w:rPr>
        <w:t>1</w:t>
      </w:r>
      <w:r w:rsidRPr="0032216A">
        <w:rPr>
          <w:rFonts w:ascii="Times New Roman" w:eastAsia="仿宋_GB2312" w:hAnsi="Times New Roman" w:cs="Times New Roman"/>
          <w:bCs/>
          <w:sz w:val="32"/>
          <w:szCs w:val="32"/>
        </w:rPr>
        <w:t>个宜兴市新芳</w:t>
      </w:r>
      <w:r w:rsidRPr="0032216A">
        <w:rPr>
          <w:rFonts w:ascii="Times New Roman" w:eastAsia="仿宋_GB2312" w:hAnsi="Times New Roman" w:cs="Times New Roman"/>
          <w:bCs/>
          <w:sz w:val="32"/>
          <w:szCs w:val="32"/>
        </w:rPr>
        <w:lastRenderedPageBreak/>
        <w:t>水泥用灰岩重点开采区，稳定资源供给保障能力。</w:t>
      </w:r>
      <w:r w:rsidRPr="0032216A">
        <w:rPr>
          <w:rFonts w:ascii="Times New Roman" w:eastAsia="仿宋_GB2312" w:hAnsi="Times New Roman" w:cs="Times New Roman"/>
          <w:bCs/>
          <w:sz w:val="32"/>
          <w:szCs w:val="32"/>
        </w:rPr>
        <w:t xml:space="preserve"> </w:t>
      </w:r>
    </w:p>
    <w:p w:rsidR="0032216A" w:rsidRPr="0032216A" w:rsidRDefault="0032216A" w:rsidP="0032216A">
      <w:pPr>
        <w:spacing w:line="560" w:lineRule="exact"/>
        <w:ind w:firstLineChars="150" w:firstLine="480"/>
        <w:rPr>
          <w:rFonts w:ascii="Times New Roman" w:eastAsia="仿宋_GB2312" w:hAnsi="Times New Roman" w:cs="Times New Roman"/>
          <w:bCs/>
          <w:sz w:val="32"/>
          <w:szCs w:val="32"/>
        </w:rPr>
      </w:pPr>
      <w:r w:rsidRPr="0032216A">
        <w:rPr>
          <w:rFonts w:ascii="Times New Roman" w:eastAsia="仿宋_GB2312" w:hAnsi="Times New Roman" w:cs="Times New Roman"/>
          <w:bCs/>
          <w:sz w:val="32"/>
          <w:szCs w:val="32"/>
        </w:rPr>
        <w:t>3</w:t>
      </w:r>
      <w:r>
        <w:rPr>
          <w:rFonts w:ascii="仿宋_GB2312" w:eastAsia="仿宋_GB2312" w:hAnsi="黑体" w:hint="eastAsia"/>
          <w:bCs/>
          <w:sz w:val="32"/>
          <w:szCs w:val="32"/>
        </w:rPr>
        <w:t>.</w:t>
      </w:r>
      <w:r w:rsidRPr="0032216A">
        <w:rPr>
          <w:rFonts w:ascii="Times New Roman" w:eastAsia="仿宋_GB2312" w:hAnsi="Times New Roman" w:cs="Times New Roman"/>
          <w:bCs/>
          <w:sz w:val="32"/>
          <w:szCs w:val="32"/>
        </w:rPr>
        <w:t>开采规划区块：在落实省级规划基础上，结合无锡实际情况，共划定了</w:t>
      </w:r>
      <w:r w:rsidRPr="0032216A">
        <w:rPr>
          <w:rFonts w:ascii="Times New Roman" w:eastAsia="仿宋_GB2312" w:hAnsi="Times New Roman" w:cs="Times New Roman"/>
          <w:bCs/>
          <w:sz w:val="32"/>
          <w:szCs w:val="32"/>
        </w:rPr>
        <w:t>4</w:t>
      </w:r>
      <w:r w:rsidRPr="0032216A">
        <w:rPr>
          <w:rFonts w:ascii="Times New Roman" w:eastAsia="仿宋_GB2312" w:hAnsi="Times New Roman" w:cs="Times New Roman"/>
          <w:bCs/>
          <w:sz w:val="32"/>
          <w:szCs w:val="32"/>
        </w:rPr>
        <w:t>个开采规划区块，分别是水泥用灰岩</w:t>
      </w:r>
      <w:r w:rsidRPr="0032216A">
        <w:rPr>
          <w:rFonts w:ascii="Times New Roman" w:eastAsia="仿宋_GB2312" w:hAnsi="Times New Roman" w:cs="Times New Roman"/>
          <w:bCs/>
          <w:sz w:val="32"/>
          <w:szCs w:val="32"/>
        </w:rPr>
        <w:t>1</w:t>
      </w:r>
      <w:r w:rsidRPr="0032216A">
        <w:rPr>
          <w:rFonts w:ascii="Times New Roman" w:eastAsia="仿宋_GB2312" w:hAnsi="Times New Roman" w:cs="Times New Roman"/>
          <w:bCs/>
          <w:sz w:val="32"/>
          <w:szCs w:val="32"/>
        </w:rPr>
        <w:t>个、陶瓷土</w:t>
      </w:r>
      <w:r w:rsidRPr="0032216A">
        <w:rPr>
          <w:rFonts w:ascii="Times New Roman" w:eastAsia="仿宋_GB2312" w:hAnsi="Times New Roman" w:cs="Times New Roman"/>
          <w:bCs/>
          <w:sz w:val="32"/>
          <w:szCs w:val="32"/>
        </w:rPr>
        <w:t>1</w:t>
      </w:r>
      <w:r w:rsidRPr="0032216A">
        <w:rPr>
          <w:rFonts w:ascii="Times New Roman" w:eastAsia="仿宋_GB2312" w:hAnsi="Times New Roman" w:cs="Times New Roman"/>
          <w:bCs/>
          <w:sz w:val="32"/>
          <w:szCs w:val="32"/>
        </w:rPr>
        <w:t>个和地热</w:t>
      </w:r>
      <w:r w:rsidRPr="0032216A">
        <w:rPr>
          <w:rFonts w:ascii="Times New Roman" w:eastAsia="仿宋_GB2312" w:hAnsi="Times New Roman" w:cs="Times New Roman"/>
          <w:bCs/>
          <w:sz w:val="32"/>
          <w:szCs w:val="32"/>
        </w:rPr>
        <w:t>2</w:t>
      </w:r>
      <w:r w:rsidRPr="0032216A">
        <w:rPr>
          <w:rFonts w:ascii="Times New Roman" w:eastAsia="仿宋_GB2312" w:hAnsi="Times New Roman" w:cs="Times New Roman"/>
          <w:bCs/>
          <w:sz w:val="32"/>
          <w:szCs w:val="32"/>
        </w:rPr>
        <w:t>个。</w:t>
      </w:r>
    </w:p>
    <w:p w:rsidR="0032216A" w:rsidRDefault="0032216A" w:rsidP="0032216A">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4.矿山准入要求：</w:t>
      </w:r>
      <w:r w:rsidRPr="0032216A">
        <w:rPr>
          <w:rFonts w:ascii="楷体" w:eastAsia="楷体" w:hAnsi="楷体" w:hint="eastAsia"/>
          <w:bCs/>
          <w:sz w:val="32"/>
          <w:szCs w:val="32"/>
        </w:rPr>
        <w:t>资格准入</w:t>
      </w:r>
      <w:r>
        <w:rPr>
          <w:rFonts w:ascii="仿宋_GB2312" w:eastAsia="仿宋_GB2312" w:hAnsi="黑体" w:hint="eastAsia"/>
          <w:bCs/>
          <w:sz w:val="32"/>
          <w:szCs w:val="32"/>
        </w:rPr>
        <w:t>，</w:t>
      </w:r>
      <w:r w:rsidRPr="0032216A">
        <w:rPr>
          <w:rFonts w:ascii="仿宋_GB2312" w:eastAsia="仿宋_GB2312" w:hAnsi="楷体" w:hint="eastAsia"/>
          <w:bCs/>
          <w:sz w:val="32"/>
          <w:szCs w:val="32"/>
        </w:rPr>
        <w:t>严格按照国家矿业权出让规定出让采矿权，外商投资企业应遵循国家有关外商投资产业规定</w:t>
      </w:r>
      <w:r>
        <w:rPr>
          <w:rFonts w:ascii="仿宋_GB2312" w:eastAsia="仿宋_GB2312" w:hAnsi="黑体" w:hint="eastAsia"/>
          <w:bCs/>
          <w:sz w:val="32"/>
          <w:szCs w:val="32"/>
        </w:rPr>
        <w:t>；</w:t>
      </w:r>
      <w:r w:rsidRPr="0032216A">
        <w:rPr>
          <w:rFonts w:ascii="楷体" w:eastAsia="楷体" w:hAnsi="楷体" w:hint="eastAsia"/>
          <w:bCs/>
          <w:sz w:val="32"/>
          <w:szCs w:val="32"/>
        </w:rPr>
        <w:t>空间准入，</w:t>
      </w:r>
      <w:r w:rsidRPr="0032216A">
        <w:rPr>
          <w:rFonts w:ascii="仿宋_GB2312" w:eastAsia="仿宋_GB2312" w:hAnsi="楷体" w:hint="eastAsia"/>
          <w:bCs/>
          <w:sz w:val="32"/>
          <w:szCs w:val="32"/>
        </w:rPr>
        <w:t>开山采石禁采区内禁止开展露天采矿活动。一个开采规划区块设置一个开采主体</w:t>
      </w:r>
      <w:r>
        <w:rPr>
          <w:rFonts w:ascii="仿宋_GB2312" w:eastAsia="仿宋_GB2312" w:hAnsi="黑体" w:hint="eastAsia"/>
          <w:bCs/>
          <w:sz w:val="32"/>
          <w:szCs w:val="32"/>
        </w:rPr>
        <w:t>；</w:t>
      </w:r>
      <w:r w:rsidRPr="0032216A">
        <w:rPr>
          <w:rFonts w:ascii="楷体" w:eastAsia="楷体" w:hAnsi="楷体" w:hint="eastAsia"/>
          <w:bCs/>
          <w:sz w:val="32"/>
          <w:szCs w:val="32"/>
        </w:rPr>
        <w:t>规模准入，</w:t>
      </w:r>
      <w:r w:rsidRPr="0032216A">
        <w:rPr>
          <w:rFonts w:ascii="仿宋_GB2312" w:eastAsia="仿宋_GB2312" w:hAnsi="楷体" w:hint="eastAsia"/>
          <w:bCs/>
          <w:sz w:val="32"/>
          <w:szCs w:val="32"/>
        </w:rPr>
        <w:t>开采规模与矿区资源储量规模、矿山服务年限相适应</w:t>
      </w:r>
      <w:r>
        <w:rPr>
          <w:rFonts w:ascii="仿宋_GB2312" w:eastAsia="仿宋_GB2312" w:hAnsi="黑体" w:hint="eastAsia"/>
          <w:bCs/>
          <w:sz w:val="32"/>
          <w:szCs w:val="32"/>
        </w:rPr>
        <w:t>。</w:t>
      </w:r>
    </w:p>
    <w:p w:rsidR="0032216A" w:rsidRDefault="0032216A" w:rsidP="0032216A">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(三)矿业绿色发展</w:t>
      </w:r>
    </w:p>
    <w:p w:rsidR="00A4093E" w:rsidRPr="00A4093E" w:rsidRDefault="0032216A" w:rsidP="00A4093E">
      <w:pPr>
        <w:spacing w:line="560" w:lineRule="exact"/>
        <w:ind w:firstLineChars="150" w:firstLine="480"/>
        <w:rPr>
          <w:rFonts w:ascii="Times New Roman" w:eastAsia="仿宋_GB2312" w:hAnsi="Times New Roman" w:cs="Times New Roman"/>
          <w:bCs/>
          <w:sz w:val="32"/>
          <w:szCs w:val="32"/>
        </w:rPr>
      </w:pPr>
      <w:r w:rsidRPr="00A4093E">
        <w:rPr>
          <w:rFonts w:ascii="Times New Roman" w:eastAsia="仿宋_GB2312" w:hAnsi="Times New Roman" w:cs="Times New Roman"/>
          <w:bCs/>
          <w:sz w:val="32"/>
          <w:szCs w:val="32"/>
        </w:rPr>
        <w:t>1.</w:t>
      </w:r>
      <w:r w:rsidRPr="00A4093E">
        <w:rPr>
          <w:rFonts w:ascii="Times New Roman" w:eastAsia="仿宋_GB2312" w:hAnsi="Times New Roman" w:cs="Times New Roman"/>
          <w:bCs/>
          <w:sz w:val="32"/>
          <w:szCs w:val="32"/>
        </w:rPr>
        <w:t>绿色勘查</w:t>
      </w:r>
      <w:r w:rsidR="00A4093E" w:rsidRPr="00A4093E">
        <w:rPr>
          <w:rFonts w:ascii="Times New Roman" w:eastAsia="仿宋_GB2312" w:hAnsi="Times New Roman" w:cs="Times New Roman"/>
          <w:bCs/>
          <w:sz w:val="32"/>
          <w:szCs w:val="32"/>
        </w:rPr>
        <w:t>：理念贯彻，坚持生态保护第一，合理优化和布局矿产资源调查评价与勘查工作，生态保护理念贯穿勘查全过程；技术创新，提倡采用适用的新技术、新方法、新工艺、新设备、新材料，最大限度的避免和减轻勘查活动对生态环境的扰动、污染和破坏；管理创新，通过源头管控、编审把关、实施监管等，落实相关要求和责任。</w:t>
      </w:r>
    </w:p>
    <w:p w:rsidR="0032216A" w:rsidRPr="00A4093E" w:rsidRDefault="0032216A" w:rsidP="0032216A">
      <w:pPr>
        <w:spacing w:line="560" w:lineRule="exact"/>
        <w:ind w:firstLineChars="150" w:firstLine="480"/>
        <w:rPr>
          <w:rFonts w:ascii="Times New Roman" w:eastAsia="仿宋_GB2312" w:hAnsi="Times New Roman" w:cs="Times New Roman"/>
          <w:bCs/>
          <w:sz w:val="32"/>
          <w:szCs w:val="32"/>
        </w:rPr>
      </w:pPr>
      <w:r w:rsidRPr="00A4093E">
        <w:rPr>
          <w:rFonts w:ascii="Times New Roman" w:eastAsia="仿宋_GB2312" w:hAnsi="Times New Roman" w:cs="Times New Roman"/>
          <w:bCs/>
          <w:sz w:val="32"/>
          <w:szCs w:val="32"/>
        </w:rPr>
        <w:t>2.</w:t>
      </w:r>
      <w:r w:rsidRPr="00A4093E">
        <w:rPr>
          <w:rFonts w:ascii="Times New Roman" w:eastAsia="仿宋_GB2312" w:hAnsi="Times New Roman" w:cs="Times New Roman"/>
          <w:bCs/>
          <w:sz w:val="32"/>
          <w:szCs w:val="32"/>
        </w:rPr>
        <w:t>绿色矿山</w:t>
      </w:r>
      <w:r w:rsidR="000B47C6">
        <w:rPr>
          <w:rFonts w:ascii="Times New Roman" w:eastAsia="仿宋_GB2312" w:hAnsi="Times New Roman" w:cs="Times New Roman" w:hint="eastAsia"/>
          <w:bCs/>
          <w:sz w:val="32"/>
          <w:szCs w:val="32"/>
        </w:rPr>
        <w:t>：</w:t>
      </w:r>
      <w:r w:rsidR="00A4093E" w:rsidRPr="00A4093E">
        <w:rPr>
          <w:rFonts w:ascii="Times New Roman" w:eastAsia="仿宋_GB2312" w:hAnsi="Times New Roman" w:cs="Times New Roman"/>
          <w:bCs/>
          <w:sz w:val="32"/>
          <w:szCs w:val="32"/>
        </w:rPr>
        <w:t>建设目标，</w:t>
      </w:r>
      <w:r w:rsidR="00A4093E" w:rsidRPr="00A4093E">
        <w:rPr>
          <w:rFonts w:ascii="Times New Roman" w:eastAsia="仿宋_GB2312" w:hAnsi="Times New Roman" w:cs="Times New Roman"/>
          <w:bCs/>
          <w:sz w:val="32"/>
          <w:szCs w:val="32"/>
        </w:rPr>
        <w:t>2025</w:t>
      </w:r>
      <w:r w:rsidR="00A4093E" w:rsidRPr="00A4093E">
        <w:rPr>
          <w:rFonts w:ascii="Times New Roman" w:eastAsia="仿宋_GB2312" w:hAnsi="Times New Roman" w:cs="Times New Roman"/>
          <w:bCs/>
          <w:sz w:val="32"/>
          <w:szCs w:val="32"/>
        </w:rPr>
        <w:t>年，大中型、小型绿色矿山建成比例分别达到</w:t>
      </w:r>
      <w:r w:rsidR="00A4093E" w:rsidRPr="00A4093E">
        <w:rPr>
          <w:rFonts w:ascii="Times New Roman" w:eastAsia="仿宋_GB2312" w:hAnsi="Times New Roman" w:cs="Times New Roman"/>
          <w:bCs/>
          <w:sz w:val="32"/>
          <w:szCs w:val="32"/>
        </w:rPr>
        <w:t>100%</w:t>
      </w:r>
      <w:r w:rsidR="00A4093E" w:rsidRPr="00A4093E">
        <w:rPr>
          <w:rFonts w:ascii="Times New Roman" w:eastAsia="仿宋_GB2312" w:hAnsi="Times New Roman" w:cs="Times New Roman"/>
          <w:bCs/>
          <w:sz w:val="32"/>
          <w:szCs w:val="32"/>
        </w:rPr>
        <w:t>、</w:t>
      </w:r>
      <w:r w:rsidR="00A4093E" w:rsidRPr="00A4093E">
        <w:rPr>
          <w:rFonts w:ascii="Times New Roman" w:eastAsia="仿宋_GB2312" w:hAnsi="Times New Roman" w:cs="Times New Roman"/>
          <w:bCs/>
          <w:sz w:val="32"/>
          <w:szCs w:val="32"/>
        </w:rPr>
        <w:t>50%</w:t>
      </w:r>
      <w:r w:rsidR="00A4093E" w:rsidRPr="00A4093E">
        <w:rPr>
          <w:rFonts w:ascii="Times New Roman" w:eastAsia="仿宋_GB2312" w:hAnsi="Times New Roman" w:cs="Times New Roman"/>
          <w:bCs/>
          <w:sz w:val="32"/>
          <w:szCs w:val="32"/>
        </w:rPr>
        <w:t>；建设对象，覆盖所有在采矿种，新建矿山按绿色矿山要求建设</w:t>
      </w:r>
      <w:r w:rsidR="000B47C6">
        <w:rPr>
          <w:rFonts w:ascii="Times New Roman" w:eastAsia="仿宋_GB2312" w:hAnsi="Times New Roman" w:cs="Times New Roman" w:hint="eastAsia"/>
          <w:bCs/>
          <w:sz w:val="32"/>
          <w:szCs w:val="32"/>
        </w:rPr>
        <w:t>；</w:t>
      </w:r>
      <w:r w:rsidR="00A4093E" w:rsidRPr="00A4093E">
        <w:rPr>
          <w:rFonts w:ascii="Times New Roman" w:eastAsia="仿宋_GB2312" w:hAnsi="Times New Roman" w:cs="Times New Roman"/>
          <w:bCs/>
          <w:sz w:val="32"/>
          <w:szCs w:val="32"/>
        </w:rPr>
        <w:t>管理制度，全面推进绿色矿山建设，推广绿色矿山建设经验，加强绿色矿山监督管理。</w:t>
      </w:r>
    </w:p>
    <w:p w:rsidR="00067536" w:rsidRPr="00A4093E" w:rsidRDefault="0032216A" w:rsidP="00F40331">
      <w:pPr>
        <w:spacing w:line="560" w:lineRule="exact"/>
        <w:ind w:firstLineChars="150" w:firstLine="480"/>
        <w:rPr>
          <w:rFonts w:ascii="Times New Roman" w:eastAsia="仿宋_GB2312" w:hAnsi="Times New Roman" w:cs="Times New Roman"/>
          <w:bCs/>
          <w:sz w:val="32"/>
          <w:szCs w:val="32"/>
        </w:rPr>
      </w:pPr>
      <w:r w:rsidRPr="00A4093E">
        <w:rPr>
          <w:rFonts w:ascii="Times New Roman" w:eastAsia="仿宋_GB2312" w:hAnsi="Times New Roman" w:cs="Times New Roman"/>
          <w:bCs/>
          <w:sz w:val="32"/>
          <w:szCs w:val="32"/>
        </w:rPr>
        <w:t>3.</w:t>
      </w:r>
      <w:r w:rsidRPr="00A4093E">
        <w:rPr>
          <w:rFonts w:ascii="Times New Roman" w:eastAsia="仿宋_GB2312" w:hAnsi="Times New Roman" w:cs="Times New Roman"/>
          <w:bCs/>
          <w:sz w:val="32"/>
          <w:szCs w:val="32"/>
        </w:rPr>
        <w:t>矿山生态保护修复</w:t>
      </w:r>
      <w:r w:rsidR="00F40331" w:rsidRPr="00A4093E">
        <w:rPr>
          <w:rFonts w:ascii="Times New Roman" w:eastAsia="仿宋_GB2312" w:hAnsi="Times New Roman" w:cs="Times New Roman"/>
          <w:bCs/>
          <w:sz w:val="32"/>
          <w:szCs w:val="32"/>
        </w:rPr>
        <w:t>:</w:t>
      </w:r>
      <w:r w:rsidR="00F40331" w:rsidRPr="00A4093E">
        <w:rPr>
          <w:rFonts w:ascii="Times New Roman" w:eastAsia="仿宋_GB2312" w:hAnsi="Times New Roman" w:cs="Times New Roman"/>
          <w:b/>
          <w:bCs/>
          <w:sz w:val="32"/>
          <w:szCs w:val="32"/>
        </w:rPr>
        <w:t xml:space="preserve"> </w:t>
      </w:r>
      <w:r w:rsidR="00F40331" w:rsidRPr="00A4093E">
        <w:rPr>
          <w:rFonts w:ascii="Times New Roman" w:eastAsia="仿宋_GB2312" w:hAnsi="Times New Roman" w:cs="Times New Roman"/>
          <w:bCs/>
          <w:sz w:val="32"/>
          <w:szCs w:val="32"/>
        </w:rPr>
        <w:t>强化源头管理</w:t>
      </w:r>
      <w:r w:rsidR="00F40331" w:rsidRPr="00A4093E">
        <w:rPr>
          <w:rFonts w:ascii="Times New Roman" w:eastAsia="仿宋_GB2312" w:hAnsi="Times New Roman" w:cs="Times New Roman"/>
          <w:bCs/>
          <w:sz w:val="32"/>
          <w:szCs w:val="32"/>
        </w:rPr>
        <w:t>,</w:t>
      </w:r>
      <w:r w:rsidR="00F40331" w:rsidRPr="00A4093E">
        <w:rPr>
          <w:rFonts w:ascii="Times New Roman" w:eastAsia="仿宋_GB2312" w:hAnsi="Times New Roman" w:cs="Times New Roman"/>
          <w:bCs/>
          <w:sz w:val="32"/>
          <w:szCs w:val="32"/>
        </w:rPr>
        <w:t>新建矿山</w:t>
      </w:r>
      <w:r w:rsidR="00DE175E" w:rsidRPr="00A4093E">
        <w:rPr>
          <w:rFonts w:ascii="Times New Roman" w:eastAsia="仿宋_GB2312" w:hAnsi="Times New Roman" w:cs="Times New Roman"/>
          <w:bCs/>
          <w:sz w:val="32"/>
          <w:szCs w:val="32"/>
        </w:rPr>
        <w:t>落实规划分区管理，严格新建矿山开发空间准入</w:t>
      </w:r>
      <w:r w:rsidR="000B47C6">
        <w:rPr>
          <w:rFonts w:ascii="Times New Roman" w:eastAsia="仿宋_GB2312" w:hAnsi="Times New Roman" w:cs="Times New Roman" w:hint="eastAsia"/>
          <w:b/>
          <w:bCs/>
          <w:sz w:val="32"/>
          <w:szCs w:val="32"/>
        </w:rPr>
        <w:t>，</w:t>
      </w:r>
      <w:r w:rsidR="00F40331" w:rsidRPr="00A4093E">
        <w:rPr>
          <w:rFonts w:ascii="Times New Roman" w:eastAsia="仿宋_GB2312" w:hAnsi="Times New Roman" w:cs="Times New Roman"/>
          <w:bCs/>
          <w:sz w:val="32"/>
          <w:szCs w:val="32"/>
        </w:rPr>
        <w:t>实行两方案三同时制度</w:t>
      </w:r>
      <w:r w:rsidR="000B47C6">
        <w:rPr>
          <w:rFonts w:ascii="Times New Roman" w:eastAsia="仿宋_GB2312" w:hAnsi="Times New Roman" w:cs="Times New Roman" w:hint="eastAsia"/>
          <w:bCs/>
          <w:sz w:val="32"/>
          <w:szCs w:val="32"/>
        </w:rPr>
        <w:t>；</w:t>
      </w:r>
      <w:r w:rsidR="00F40331" w:rsidRPr="00A4093E">
        <w:rPr>
          <w:rFonts w:ascii="Times New Roman" w:eastAsia="仿宋_GB2312" w:hAnsi="Times New Roman" w:cs="Times New Roman"/>
          <w:bCs/>
          <w:sz w:val="32"/>
          <w:szCs w:val="32"/>
        </w:rPr>
        <w:t>加强事中监管</w:t>
      </w:r>
      <w:r w:rsidR="00F40331" w:rsidRPr="00A4093E">
        <w:rPr>
          <w:rFonts w:ascii="Times New Roman" w:eastAsia="仿宋_GB2312" w:hAnsi="Times New Roman" w:cs="Times New Roman"/>
          <w:bCs/>
          <w:sz w:val="32"/>
          <w:szCs w:val="32"/>
        </w:rPr>
        <w:t>,</w:t>
      </w:r>
      <w:r w:rsidR="00F40331" w:rsidRPr="00A4093E">
        <w:rPr>
          <w:rFonts w:ascii="Times New Roman" w:eastAsia="仿宋_GB2312" w:hAnsi="Times New Roman" w:cs="Times New Roman"/>
          <w:bCs/>
          <w:sz w:val="32"/>
          <w:szCs w:val="32"/>
        </w:rPr>
        <w:t>在采矿山</w:t>
      </w:r>
      <w:r w:rsidR="00DE175E" w:rsidRPr="00A4093E">
        <w:rPr>
          <w:rFonts w:ascii="Times New Roman" w:eastAsia="仿宋_GB2312" w:hAnsi="Times New Roman" w:cs="Times New Roman"/>
          <w:bCs/>
          <w:sz w:val="32"/>
          <w:szCs w:val="32"/>
        </w:rPr>
        <w:t>开展生产矿山地质环境保护与</w:t>
      </w:r>
      <w:r w:rsidR="00DE175E" w:rsidRPr="00A4093E">
        <w:rPr>
          <w:rFonts w:ascii="Times New Roman" w:eastAsia="仿宋_GB2312" w:hAnsi="Times New Roman" w:cs="Times New Roman"/>
          <w:bCs/>
          <w:sz w:val="32"/>
          <w:szCs w:val="32"/>
        </w:rPr>
        <w:lastRenderedPageBreak/>
        <w:t>土地复垦情况监测评估，将责任落实情况作为矿山企业信息社会公示的重要内容和抽检的重要方面</w:t>
      </w:r>
      <w:r w:rsidR="000B47C6">
        <w:rPr>
          <w:rFonts w:ascii="Times New Roman" w:eastAsia="仿宋_GB2312" w:hAnsi="Times New Roman" w:cs="Times New Roman" w:hint="eastAsia"/>
          <w:bCs/>
          <w:sz w:val="32"/>
          <w:szCs w:val="32"/>
        </w:rPr>
        <w:t>；</w:t>
      </w:r>
      <w:r w:rsidR="009E2491" w:rsidRPr="00A4093E">
        <w:rPr>
          <w:rFonts w:ascii="Times New Roman" w:eastAsia="仿宋_GB2312" w:hAnsi="Times New Roman" w:cs="Times New Roman"/>
          <w:bCs/>
          <w:sz w:val="32"/>
          <w:szCs w:val="32"/>
        </w:rPr>
        <w:t>强</w:t>
      </w:r>
      <w:r w:rsidR="00F40331" w:rsidRPr="00A4093E">
        <w:rPr>
          <w:rFonts w:ascii="Times New Roman" w:eastAsia="仿宋_GB2312" w:hAnsi="Times New Roman" w:cs="Times New Roman"/>
          <w:bCs/>
          <w:sz w:val="32"/>
          <w:szCs w:val="32"/>
        </w:rPr>
        <w:t>化规范基金管理</w:t>
      </w:r>
      <w:r w:rsidR="00F40331" w:rsidRPr="00A4093E">
        <w:rPr>
          <w:rFonts w:ascii="Times New Roman" w:eastAsia="仿宋_GB2312" w:hAnsi="Times New Roman" w:cs="Times New Roman"/>
          <w:bCs/>
          <w:sz w:val="32"/>
          <w:szCs w:val="32"/>
        </w:rPr>
        <w:t>,</w:t>
      </w:r>
      <w:r w:rsidR="00DE175E" w:rsidRPr="00A4093E">
        <w:rPr>
          <w:rFonts w:ascii="Times New Roman" w:eastAsia="仿宋_GB2312" w:hAnsi="Times New Roman" w:cs="Times New Roman"/>
          <w:bCs/>
          <w:sz w:val="32"/>
          <w:szCs w:val="32"/>
        </w:rPr>
        <w:t>强化和规范矿山地质环境治理恢复基金的缴存、提取、使用监管</w:t>
      </w:r>
      <w:r w:rsidR="00F40331" w:rsidRPr="00A4093E">
        <w:rPr>
          <w:rFonts w:ascii="Times New Roman" w:eastAsia="仿宋_GB2312" w:hAnsi="Times New Roman" w:cs="Times New Roman"/>
          <w:bCs/>
          <w:sz w:val="32"/>
          <w:szCs w:val="32"/>
        </w:rPr>
        <w:t>。</w:t>
      </w:r>
    </w:p>
    <w:p w:rsidR="000B47C6" w:rsidRDefault="000B47C6" w:rsidP="000B47C6">
      <w:pPr>
        <w:spacing w:line="560" w:lineRule="exact"/>
        <w:ind w:firstLineChars="196" w:firstLine="627"/>
        <w:rPr>
          <w:rFonts w:ascii="黑体" w:eastAsia="黑体" w:hAnsi="黑体"/>
          <w:bCs/>
          <w:sz w:val="32"/>
          <w:szCs w:val="32"/>
        </w:rPr>
      </w:pPr>
      <w:r>
        <w:rPr>
          <w:rFonts w:ascii="黑体" w:eastAsia="黑体" w:hAnsi="黑体" w:hint="eastAsia"/>
          <w:bCs/>
          <w:sz w:val="32"/>
          <w:szCs w:val="32"/>
        </w:rPr>
        <w:t>六、规划实施保障</w:t>
      </w:r>
    </w:p>
    <w:p w:rsidR="000B47C6" w:rsidRDefault="000B47C6" w:rsidP="000B47C6">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(一)强化监管，确保规划管控落实</w:t>
      </w:r>
    </w:p>
    <w:p w:rsidR="000B47C6" w:rsidRDefault="000B47C6" w:rsidP="000B47C6">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(二)完善机制，提升规划实施效能</w:t>
      </w:r>
    </w:p>
    <w:p w:rsidR="000B47C6" w:rsidRPr="000B47C6" w:rsidRDefault="000B47C6" w:rsidP="000B47C6">
      <w:pPr>
        <w:spacing w:line="56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(三)拓展渠道，保障资金投入</w:t>
      </w:r>
    </w:p>
    <w:p w:rsidR="000B47C6" w:rsidRDefault="000B47C6" w:rsidP="000B47C6">
      <w:pPr>
        <w:spacing w:line="560" w:lineRule="exact"/>
        <w:ind w:firstLineChars="150" w:firstLine="480"/>
        <w:rPr>
          <w:rFonts w:ascii="黑体" w:eastAsia="黑体" w:hAnsi="黑体"/>
          <w:bCs/>
          <w:sz w:val="32"/>
          <w:szCs w:val="32"/>
        </w:rPr>
      </w:pPr>
      <w:r>
        <w:rPr>
          <w:rFonts w:ascii="仿宋_GB2312" w:eastAsia="仿宋_GB2312" w:hAnsi="黑体" w:hint="eastAsia"/>
          <w:bCs/>
          <w:sz w:val="32"/>
          <w:szCs w:val="32"/>
        </w:rPr>
        <w:t>(四)加强数据融合，支撑规划科学管理</w:t>
      </w:r>
    </w:p>
    <w:p w:rsidR="00F40331" w:rsidRPr="00F40331" w:rsidRDefault="00F40331" w:rsidP="00F40331">
      <w:pPr>
        <w:spacing w:line="560" w:lineRule="exact"/>
        <w:ind w:firstLineChars="150" w:firstLine="480"/>
        <w:rPr>
          <w:rFonts w:ascii="仿宋_GB2312" w:eastAsia="仿宋_GB2312" w:hAnsi="黑体"/>
          <w:bCs/>
          <w:sz w:val="32"/>
          <w:szCs w:val="32"/>
        </w:rPr>
      </w:pPr>
    </w:p>
    <w:p w:rsidR="0032216A" w:rsidRPr="0032216A" w:rsidRDefault="0032216A" w:rsidP="0032216A">
      <w:pPr>
        <w:spacing w:line="560" w:lineRule="exact"/>
        <w:ind w:firstLineChars="150" w:firstLine="480"/>
        <w:rPr>
          <w:rFonts w:ascii="仿宋_GB2312" w:eastAsia="仿宋_GB2312" w:hAnsi="黑体"/>
          <w:bCs/>
          <w:sz w:val="32"/>
          <w:szCs w:val="32"/>
        </w:rPr>
      </w:pPr>
    </w:p>
    <w:p w:rsidR="0032216A" w:rsidRPr="0032216A" w:rsidRDefault="0032216A" w:rsidP="00CC4DB8">
      <w:pPr>
        <w:spacing w:line="560" w:lineRule="exact"/>
        <w:ind w:firstLineChars="196" w:firstLine="627"/>
        <w:rPr>
          <w:rFonts w:ascii="仿宋_GB2312" w:eastAsia="仿宋_GB2312" w:hAnsi="楷体"/>
          <w:bCs/>
          <w:sz w:val="32"/>
          <w:szCs w:val="32"/>
        </w:rPr>
      </w:pPr>
    </w:p>
    <w:p w:rsidR="00E51CD2" w:rsidRPr="0032216A" w:rsidRDefault="00E51CD2" w:rsidP="00E51CD2">
      <w:pPr>
        <w:spacing w:line="560" w:lineRule="exact"/>
        <w:rPr>
          <w:rFonts w:ascii="仿宋_GB2312" w:eastAsia="仿宋_GB2312" w:hAnsi="黑体"/>
          <w:sz w:val="32"/>
          <w:szCs w:val="32"/>
        </w:rPr>
      </w:pPr>
    </w:p>
    <w:p w:rsidR="00067536" w:rsidRDefault="00067536" w:rsidP="00E51CD2">
      <w:pPr>
        <w:spacing w:line="560" w:lineRule="exact"/>
        <w:rPr>
          <w:rFonts w:ascii="黑体" w:eastAsia="黑体" w:hAnsi="黑体"/>
          <w:noProof/>
          <w:sz w:val="32"/>
          <w:szCs w:val="32"/>
        </w:rPr>
      </w:pPr>
    </w:p>
    <w:p w:rsidR="00491142" w:rsidRPr="00E51CD2" w:rsidRDefault="00491142" w:rsidP="00E51CD2">
      <w:pPr>
        <w:spacing w:line="560" w:lineRule="exact"/>
        <w:rPr>
          <w:rFonts w:ascii="黑体" w:eastAsia="黑体" w:hAnsi="黑体"/>
          <w:sz w:val="32"/>
          <w:szCs w:val="32"/>
        </w:rPr>
      </w:pPr>
    </w:p>
    <w:sectPr w:rsidR="00491142" w:rsidRPr="00E51CD2" w:rsidSect="000675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6B7" w:rsidRDefault="004006B7" w:rsidP="00E51CD2">
      <w:r>
        <w:separator/>
      </w:r>
    </w:p>
  </w:endnote>
  <w:endnote w:type="continuationSeparator" w:id="1">
    <w:p w:rsidR="004006B7" w:rsidRDefault="004006B7" w:rsidP="00E51CD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6B7" w:rsidRDefault="004006B7" w:rsidP="00E51CD2">
      <w:r>
        <w:separator/>
      </w:r>
    </w:p>
  </w:footnote>
  <w:footnote w:type="continuationSeparator" w:id="1">
    <w:p w:rsidR="004006B7" w:rsidRDefault="004006B7" w:rsidP="00E51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50F"/>
    <w:multiLevelType w:val="hybridMultilevel"/>
    <w:tmpl w:val="BE0C41E2"/>
    <w:lvl w:ilvl="0" w:tplc="E97E3BEA">
      <w:start w:val="1"/>
      <w:numFmt w:val="bullet"/>
      <w:lvlText w:val="•"/>
      <w:lvlJc w:val="left"/>
      <w:pPr>
        <w:tabs>
          <w:tab w:val="num" w:pos="720"/>
        </w:tabs>
        <w:ind w:left="720" w:hanging="360"/>
      </w:pPr>
      <w:rPr>
        <w:rFonts w:ascii="宋体" w:hAnsi="宋体" w:hint="default"/>
      </w:rPr>
    </w:lvl>
    <w:lvl w:ilvl="1" w:tplc="D94CE49E" w:tentative="1">
      <w:start w:val="1"/>
      <w:numFmt w:val="bullet"/>
      <w:lvlText w:val="•"/>
      <w:lvlJc w:val="left"/>
      <w:pPr>
        <w:tabs>
          <w:tab w:val="num" w:pos="1440"/>
        </w:tabs>
        <w:ind w:left="1440" w:hanging="360"/>
      </w:pPr>
      <w:rPr>
        <w:rFonts w:ascii="宋体" w:hAnsi="宋体" w:hint="default"/>
      </w:rPr>
    </w:lvl>
    <w:lvl w:ilvl="2" w:tplc="0A2A55CC" w:tentative="1">
      <w:start w:val="1"/>
      <w:numFmt w:val="bullet"/>
      <w:lvlText w:val="•"/>
      <w:lvlJc w:val="left"/>
      <w:pPr>
        <w:tabs>
          <w:tab w:val="num" w:pos="2160"/>
        </w:tabs>
        <w:ind w:left="2160" w:hanging="360"/>
      </w:pPr>
      <w:rPr>
        <w:rFonts w:ascii="宋体" w:hAnsi="宋体" w:hint="default"/>
      </w:rPr>
    </w:lvl>
    <w:lvl w:ilvl="3" w:tplc="06F66626" w:tentative="1">
      <w:start w:val="1"/>
      <w:numFmt w:val="bullet"/>
      <w:lvlText w:val="•"/>
      <w:lvlJc w:val="left"/>
      <w:pPr>
        <w:tabs>
          <w:tab w:val="num" w:pos="2880"/>
        </w:tabs>
        <w:ind w:left="2880" w:hanging="360"/>
      </w:pPr>
      <w:rPr>
        <w:rFonts w:ascii="宋体" w:hAnsi="宋体" w:hint="default"/>
      </w:rPr>
    </w:lvl>
    <w:lvl w:ilvl="4" w:tplc="19E029A0" w:tentative="1">
      <w:start w:val="1"/>
      <w:numFmt w:val="bullet"/>
      <w:lvlText w:val="•"/>
      <w:lvlJc w:val="left"/>
      <w:pPr>
        <w:tabs>
          <w:tab w:val="num" w:pos="3600"/>
        </w:tabs>
        <w:ind w:left="3600" w:hanging="360"/>
      </w:pPr>
      <w:rPr>
        <w:rFonts w:ascii="宋体" w:hAnsi="宋体" w:hint="default"/>
      </w:rPr>
    </w:lvl>
    <w:lvl w:ilvl="5" w:tplc="504A8982" w:tentative="1">
      <w:start w:val="1"/>
      <w:numFmt w:val="bullet"/>
      <w:lvlText w:val="•"/>
      <w:lvlJc w:val="left"/>
      <w:pPr>
        <w:tabs>
          <w:tab w:val="num" w:pos="4320"/>
        </w:tabs>
        <w:ind w:left="4320" w:hanging="360"/>
      </w:pPr>
      <w:rPr>
        <w:rFonts w:ascii="宋体" w:hAnsi="宋体" w:hint="default"/>
      </w:rPr>
    </w:lvl>
    <w:lvl w:ilvl="6" w:tplc="D346C026" w:tentative="1">
      <w:start w:val="1"/>
      <w:numFmt w:val="bullet"/>
      <w:lvlText w:val="•"/>
      <w:lvlJc w:val="left"/>
      <w:pPr>
        <w:tabs>
          <w:tab w:val="num" w:pos="5040"/>
        </w:tabs>
        <w:ind w:left="5040" w:hanging="360"/>
      </w:pPr>
      <w:rPr>
        <w:rFonts w:ascii="宋体" w:hAnsi="宋体" w:hint="default"/>
      </w:rPr>
    </w:lvl>
    <w:lvl w:ilvl="7" w:tplc="F758AB84" w:tentative="1">
      <w:start w:val="1"/>
      <w:numFmt w:val="bullet"/>
      <w:lvlText w:val="•"/>
      <w:lvlJc w:val="left"/>
      <w:pPr>
        <w:tabs>
          <w:tab w:val="num" w:pos="5760"/>
        </w:tabs>
        <w:ind w:left="5760" w:hanging="360"/>
      </w:pPr>
      <w:rPr>
        <w:rFonts w:ascii="宋体" w:hAnsi="宋体" w:hint="default"/>
      </w:rPr>
    </w:lvl>
    <w:lvl w:ilvl="8" w:tplc="7958A1F4" w:tentative="1">
      <w:start w:val="1"/>
      <w:numFmt w:val="bullet"/>
      <w:lvlText w:val="•"/>
      <w:lvlJc w:val="left"/>
      <w:pPr>
        <w:tabs>
          <w:tab w:val="num" w:pos="6480"/>
        </w:tabs>
        <w:ind w:left="6480" w:hanging="360"/>
      </w:pPr>
      <w:rPr>
        <w:rFonts w:ascii="宋体" w:hAnsi="宋体" w:hint="default"/>
      </w:rPr>
    </w:lvl>
  </w:abstractNum>
  <w:abstractNum w:abstractNumId="1">
    <w:nsid w:val="362C7E71"/>
    <w:multiLevelType w:val="hybridMultilevel"/>
    <w:tmpl w:val="F35A8B62"/>
    <w:lvl w:ilvl="0" w:tplc="A39ACFB6">
      <w:start w:val="1"/>
      <w:numFmt w:val="bullet"/>
      <w:lvlText w:val="•"/>
      <w:lvlJc w:val="left"/>
      <w:pPr>
        <w:tabs>
          <w:tab w:val="num" w:pos="720"/>
        </w:tabs>
        <w:ind w:left="720" w:hanging="360"/>
      </w:pPr>
      <w:rPr>
        <w:rFonts w:ascii="宋体" w:hAnsi="宋体" w:hint="default"/>
      </w:rPr>
    </w:lvl>
    <w:lvl w:ilvl="1" w:tplc="03FC39A0" w:tentative="1">
      <w:start w:val="1"/>
      <w:numFmt w:val="bullet"/>
      <w:lvlText w:val="•"/>
      <w:lvlJc w:val="left"/>
      <w:pPr>
        <w:tabs>
          <w:tab w:val="num" w:pos="1440"/>
        </w:tabs>
        <w:ind w:left="1440" w:hanging="360"/>
      </w:pPr>
      <w:rPr>
        <w:rFonts w:ascii="宋体" w:hAnsi="宋体" w:hint="default"/>
      </w:rPr>
    </w:lvl>
    <w:lvl w:ilvl="2" w:tplc="16784588" w:tentative="1">
      <w:start w:val="1"/>
      <w:numFmt w:val="bullet"/>
      <w:lvlText w:val="•"/>
      <w:lvlJc w:val="left"/>
      <w:pPr>
        <w:tabs>
          <w:tab w:val="num" w:pos="2160"/>
        </w:tabs>
        <w:ind w:left="2160" w:hanging="360"/>
      </w:pPr>
      <w:rPr>
        <w:rFonts w:ascii="宋体" w:hAnsi="宋体" w:hint="default"/>
      </w:rPr>
    </w:lvl>
    <w:lvl w:ilvl="3" w:tplc="F6362EBE" w:tentative="1">
      <w:start w:val="1"/>
      <w:numFmt w:val="bullet"/>
      <w:lvlText w:val="•"/>
      <w:lvlJc w:val="left"/>
      <w:pPr>
        <w:tabs>
          <w:tab w:val="num" w:pos="2880"/>
        </w:tabs>
        <w:ind w:left="2880" w:hanging="360"/>
      </w:pPr>
      <w:rPr>
        <w:rFonts w:ascii="宋体" w:hAnsi="宋体" w:hint="default"/>
      </w:rPr>
    </w:lvl>
    <w:lvl w:ilvl="4" w:tplc="8EA000B2" w:tentative="1">
      <w:start w:val="1"/>
      <w:numFmt w:val="bullet"/>
      <w:lvlText w:val="•"/>
      <w:lvlJc w:val="left"/>
      <w:pPr>
        <w:tabs>
          <w:tab w:val="num" w:pos="3600"/>
        </w:tabs>
        <w:ind w:left="3600" w:hanging="360"/>
      </w:pPr>
      <w:rPr>
        <w:rFonts w:ascii="宋体" w:hAnsi="宋体" w:hint="default"/>
      </w:rPr>
    </w:lvl>
    <w:lvl w:ilvl="5" w:tplc="E766B986" w:tentative="1">
      <w:start w:val="1"/>
      <w:numFmt w:val="bullet"/>
      <w:lvlText w:val="•"/>
      <w:lvlJc w:val="left"/>
      <w:pPr>
        <w:tabs>
          <w:tab w:val="num" w:pos="4320"/>
        </w:tabs>
        <w:ind w:left="4320" w:hanging="360"/>
      </w:pPr>
      <w:rPr>
        <w:rFonts w:ascii="宋体" w:hAnsi="宋体" w:hint="default"/>
      </w:rPr>
    </w:lvl>
    <w:lvl w:ilvl="6" w:tplc="E47050DA" w:tentative="1">
      <w:start w:val="1"/>
      <w:numFmt w:val="bullet"/>
      <w:lvlText w:val="•"/>
      <w:lvlJc w:val="left"/>
      <w:pPr>
        <w:tabs>
          <w:tab w:val="num" w:pos="5040"/>
        </w:tabs>
        <w:ind w:left="5040" w:hanging="360"/>
      </w:pPr>
      <w:rPr>
        <w:rFonts w:ascii="宋体" w:hAnsi="宋体" w:hint="default"/>
      </w:rPr>
    </w:lvl>
    <w:lvl w:ilvl="7" w:tplc="2EEC9208" w:tentative="1">
      <w:start w:val="1"/>
      <w:numFmt w:val="bullet"/>
      <w:lvlText w:val="•"/>
      <w:lvlJc w:val="left"/>
      <w:pPr>
        <w:tabs>
          <w:tab w:val="num" w:pos="5760"/>
        </w:tabs>
        <w:ind w:left="5760" w:hanging="360"/>
      </w:pPr>
      <w:rPr>
        <w:rFonts w:ascii="宋体" w:hAnsi="宋体" w:hint="default"/>
      </w:rPr>
    </w:lvl>
    <w:lvl w:ilvl="8" w:tplc="B344D6DE" w:tentative="1">
      <w:start w:val="1"/>
      <w:numFmt w:val="bullet"/>
      <w:lvlText w:val="•"/>
      <w:lvlJc w:val="left"/>
      <w:pPr>
        <w:tabs>
          <w:tab w:val="num" w:pos="6480"/>
        </w:tabs>
        <w:ind w:left="6480" w:hanging="360"/>
      </w:pPr>
      <w:rPr>
        <w:rFonts w:ascii="宋体" w:hAnsi="宋体" w:hint="default"/>
      </w:rPr>
    </w:lvl>
  </w:abstractNum>
  <w:abstractNum w:abstractNumId="2">
    <w:nsid w:val="3E5913B1"/>
    <w:multiLevelType w:val="hybridMultilevel"/>
    <w:tmpl w:val="21D449C8"/>
    <w:lvl w:ilvl="0" w:tplc="E528DC58">
      <w:start w:val="1"/>
      <w:numFmt w:val="bullet"/>
      <w:lvlText w:val="•"/>
      <w:lvlJc w:val="left"/>
      <w:pPr>
        <w:tabs>
          <w:tab w:val="num" w:pos="720"/>
        </w:tabs>
        <w:ind w:left="720" w:hanging="360"/>
      </w:pPr>
      <w:rPr>
        <w:rFonts w:ascii="宋体" w:hAnsi="宋体" w:hint="default"/>
      </w:rPr>
    </w:lvl>
    <w:lvl w:ilvl="1" w:tplc="C324CDEC" w:tentative="1">
      <w:start w:val="1"/>
      <w:numFmt w:val="bullet"/>
      <w:lvlText w:val="•"/>
      <w:lvlJc w:val="left"/>
      <w:pPr>
        <w:tabs>
          <w:tab w:val="num" w:pos="1440"/>
        </w:tabs>
        <w:ind w:left="1440" w:hanging="360"/>
      </w:pPr>
      <w:rPr>
        <w:rFonts w:ascii="宋体" w:hAnsi="宋体" w:hint="default"/>
      </w:rPr>
    </w:lvl>
    <w:lvl w:ilvl="2" w:tplc="90B62EAA" w:tentative="1">
      <w:start w:val="1"/>
      <w:numFmt w:val="bullet"/>
      <w:lvlText w:val="•"/>
      <w:lvlJc w:val="left"/>
      <w:pPr>
        <w:tabs>
          <w:tab w:val="num" w:pos="2160"/>
        </w:tabs>
        <w:ind w:left="2160" w:hanging="360"/>
      </w:pPr>
      <w:rPr>
        <w:rFonts w:ascii="宋体" w:hAnsi="宋体" w:hint="default"/>
      </w:rPr>
    </w:lvl>
    <w:lvl w:ilvl="3" w:tplc="76EA5BBE" w:tentative="1">
      <w:start w:val="1"/>
      <w:numFmt w:val="bullet"/>
      <w:lvlText w:val="•"/>
      <w:lvlJc w:val="left"/>
      <w:pPr>
        <w:tabs>
          <w:tab w:val="num" w:pos="2880"/>
        </w:tabs>
        <w:ind w:left="2880" w:hanging="360"/>
      </w:pPr>
      <w:rPr>
        <w:rFonts w:ascii="宋体" w:hAnsi="宋体" w:hint="default"/>
      </w:rPr>
    </w:lvl>
    <w:lvl w:ilvl="4" w:tplc="040475D4" w:tentative="1">
      <w:start w:val="1"/>
      <w:numFmt w:val="bullet"/>
      <w:lvlText w:val="•"/>
      <w:lvlJc w:val="left"/>
      <w:pPr>
        <w:tabs>
          <w:tab w:val="num" w:pos="3600"/>
        </w:tabs>
        <w:ind w:left="3600" w:hanging="360"/>
      </w:pPr>
      <w:rPr>
        <w:rFonts w:ascii="宋体" w:hAnsi="宋体" w:hint="default"/>
      </w:rPr>
    </w:lvl>
    <w:lvl w:ilvl="5" w:tplc="BD88BC20" w:tentative="1">
      <w:start w:val="1"/>
      <w:numFmt w:val="bullet"/>
      <w:lvlText w:val="•"/>
      <w:lvlJc w:val="left"/>
      <w:pPr>
        <w:tabs>
          <w:tab w:val="num" w:pos="4320"/>
        </w:tabs>
        <w:ind w:left="4320" w:hanging="360"/>
      </w:pPr>
      <w:rPr>
        <w:rFonts w:ascii="宋体" w:hAnsi="宋体" w:hint="default"/>
      </w:rPr>
    </w:lvl>
    <w:lvl w:ilvl="6" w:tplc="9D5C56F8" w:tentative="1">
      <w:start w:val="1"/>
      <w:numFmt w:val="bullet"/>
      <w:lvlText w:val="•"/>
      <w:lvlJc w:val="left"/>
      <w:pPr>
        <w:tabs>
          <w:tab w:val="num" w:pos="5040"/>
        </w:tabs>
        <w:ind w:left="5040" w:hanging="360"/>
      </w:pPr>
      <w:rPr>
        <w:rFonts w:ascii="宋体" w:hAnsi="宋体" w:hint="default"/>
      </w:rPr>
    </w:lvl>
    <w:lvl w:ilvl="7" w:tplc="C6B0EC36" w:tentative="1">
      <w:start w:val="1"/>
      <w:numFmt w:val="bullet"/>
      <w:lvlText w:val="•"/>
      <w:lvlJc w:val="left"/>
      <w:pPr>
        <w:tabs>
          <w:tab w:val="num" w:pos="5760"/>
        </w:tabs>
        <w:ind w:left="5760" w:hanging="360"/>
      </w:pPr>
      <w:rPr>
        <w:rFonts w:ascii="宋体" w:hAnsi="宋体" w:hint="default"/>
      </w:rPr>
    </w:lvl>
    <w:lvl w:ilvl="8" w:tplc="5180076C" w:tentative="1">
      <w:start w:val="1"/>
      <w:numFmt w:val="bullet"/>
      <w:lvlText w:val="•"/>
      <w:lvlJc w:val="left"/>
      <w:pPr>
        <w:tabs>
          <w:tab w:val="num" w:pos="6480"/>
        </w:tabs>
        <w:ind w:left="6480" w:hanging="360"/>
      </w:pPr>
      <w:rPr>
        <w:rFonts w:ascii="宋体" w:hAnsi="宋体"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CD2"/>
    <w:rsid w:val="00067536"/>
    <w:rsid w:val="000B47C6"/>
    <w:rsid w:val="0032216A"/>
    <w:rsid w:val="004006B7"/>
    <w:rsid w:val="00491142"/>
    <w:rsid w:val="008736CB"/>
    <w:rsid w:val="009E2491"/>
    <w:rsid w:val="00A4093E"/>
    <w:rsid w:val="00C311AB"/>
    <w:rsid w:val="00CC4DB8"/>
    <w:rsid w:val="00DE175E"/>
    <w:rsid w:val="00E51CD2"/>
    <w:rsid w:val="00F403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1CD2"/>
    <w:rPr>
      <w:sz w:val="18"/>
      <w:szCs w:val="18"/>
    </w:rPr>
  </w:style>
  <w:style w:type="paragraph" w:styleId="a4">
    <w:name w:val="footer"/>
    <w:basedOn w:val="a"/>
    <w:link w:val="Char0"/>
    <w:uiPriority w:val="99"/>
    <w:semiHidden/>
    <w:unhideWhenUsed/>
    <w:rsid w:val="00E51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1CD2"/>
    <w:rPr>
      <w:sz w:val="18"/>
      <w:szCs w:val="18"/>
    </w:rPr>
  </w:style>
  <w:style w:type="table" w:styleId="a5">
    <w:name w:val="Table Grid"/>
    <w:basedOn w:val="a1"/>
    <w:uiPriority w:val="59"/>
    <w:rsid w:val="004911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CC4DB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F40331"/>
    <w:pPr>
      <w:widowControl/>
      <w:ind w:firstLineChars="200"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29556">
      <w:bodyDiv w:val="1"/>
      <w:marLeft w:val="0"/>
      <w:marRight w:val="0"/>
      <w:marTop w:val="0"/>
      <w:marBottom w:val="0"/>
      <w:divBdr>
        <w:top w:val="none" w:sz="0" w:space="0" w:color="auto"/>
        <w:left w:val="none" w:sz="0" w:space="0" w:color="auto"/>
        <w:bottom w:val="none" w:sz="0" w:space="0" w:color="auto"/>
        <w:right w:val="none" w:sz="0" w:space="0" w:color="auto"/>
      </w:divBdr>
    </w:div>
    <w:div w:id="284041714">
      <w:bodyDiv w:val="1"/>
      <w:marLeft w:val="0"/>
      <w:marRight w:val="0"/>
      <w:marTop w:val="0"/>
      <w:marBottom w:val="0"/>
      <w:divBdr>
        <w:top w:val="none" w:sz="0" w:space="0" w:color="auto"/>
        <w:left w:val="none" w:sz="0" w:space="0" w:color="auto"/>
        <w:bottom w:val="none" w:sz="0" w:space="0" w:color="auto"/>
        <w:right w:val="none" w:sz="0" w:space="0" w:color="auto"/>
      </w:divBdr>
    </w:div>
    <w:div w:id="287785841">
      <w:bodyDiv w:val="1"/>
      <w:marLeft w:val="0"/>
      <w:marRight w:val="0"/>
      <w:marTop w:val="0"/>
      <w:marBottom w:val="0"/>
      <w:divBdr>
        <w:top w:val="none" w:sz="0" w:space="0" w:color="auto"/>
        <w:left w:val="none" w:sz="0" w:space="0" w:color="auto"/>
        <w:bottom w:val="none" w:sz="0" w:space="0" w:color="auto"/>
        <w:right w:val="none" w:sz="0" w:space="0" w:color="auto"/>
      </w:divBdr>
    </w:div>
    <w:div w:id="520705996">
      <w:bodyDiv w:val="1"/>
      <w:marLeft w:val="0"/>
      <w:marRight w:val="0"/>
      <w:marTop w:val="0"/>
      <w:marBottom w:val="0"/>
      <w:divBdr>
        <w:top w:val="none" w:sz="0" w:space="0" w:color="auto"/>
        <w:left w:val="none" w:sz="0" w:space="0" w:color="auto"/>
        <w:bottom w:val="none" w:sz="0" w:space="0" w:color="auto"/>
        <w:right w:val="none" w:sz="0" w:space="0" w:color="auto"/>
      </w:divBdr>
    </w:div>
    <w:div w:id="530649321">
      <w:bodyDiv w:val="1"/>
      <w:marLeft w:val="0"/>
      <w:marRight w:val="0"/>
      <w:marTop w:val="0"/>
      <w:marBottom w:val="0"/>
      <w:divBdr>
        <w:top w:val="none" w:sz="0" w:space="0" w:color="auto"/>
        <w:left w:val="none" w:sz="0" w:space="0" w:color="auto"/>
        <w:bottom w:val="none" w:sz="0" w:space="0" w:color="auto"/>
        <w:right w:val="none" w:sz="0" w:space="0" w:color="auto"/>
      </w:divBdr>
    </w:div>
    <w:div w:id="537594667">
      <w:bodyDiv w:val="1"/>
      <w:marLeft w:val="0"/>
      <w:marRight w:val="0"/>
      <w:marTop w:val="0"/>
      <w:marBottom w:val="0"/>
      <w:divBdr>
        <w:top w:val="none" w:sz="0" w:space="0" w:color="auto"/>
        <w:left w:val="none" w:sz="0" w:space="0" w:color="auto"/>
        <w:bottom w:val="none" w:sz="0" w:space="0" w:color="auto"/>
        <w:right w:val="none" w:sz="0" w:space="0" w:color="auto"/>
      </w:divBdr>
    </w:div>
    <w:div w:id="622930097">
      <w:bodyDiv w:val="1"/>
      <w:marLeft w:val="0"/>
      <w:marRight w:val="0"/>
      <w:marTop w:val="0"/>
      <w:marBottom w:val="0"/>
      <w:divBdr>
        <w:top w:val="none" w:sz="0" w:space="0" w:color="auto"/>
        <w:left w:val="none" w:sz="0" w:space="0" w:color="auto"/>
        <w:bottom w:val="none" w:sz="0" w:space="0" w:color="auto"/>
        <w:right w:val="none" w:sz="0" w:space="0" w:color="auto"/>
      </w:divBdr>
    </w:div>
    <w:div w:id="716047905">
      <w:bodyDiv w:val="1"/>
      <w:marLeft w:val="0"/>
      <w:marRight w:val="0"/>
      <w:marTop w:val="0"/>
      <w:marBottom w:val="0"/>
      <w:divBdr>
        <w:top w:val="none" w:sz="0" w:space="0" w:color="auto"/>
        <w:left w:val="none" w:sz="0" w:space="0" w:color="auto"/>
        <w:bottom w:val="none" w:sz="0" w:space="0" w:color="auto"/>
        <w:right w:val="none" w:sz="0" w:space="0" w:color="auto"/>
      </w:divBdr>
    </w:div>
    <w:div w:id="728263017">
      <w:bodyDiv w:val="1"/>
      <w:marLeft w:val="0"/>
      <w:marRight w:val="0"/>
      <w:marTop w:val="0"/>
      <w:marBottom w:val="0"/>
      <w:divBdr>
        <w:top w:val="none" w:sz="0" w:space="0" w:color="auto"/>
        <w:left w:val="none" w:sz="0" w:space="0" w:color="auto"/>
        <w:bottom w:val="none" w:sz="0" w:space="0" w:color="auto"/>
        <w:right w:val="none" w:sz="0" w:space="0" w:color="auto"/>
      </w:divBdr>
    </w:div>
    <w:div w:id="752170071">
      <w:bodyDiv w:val="1"/>
      <w:marLeft w:val="0"/>
      <w:marRight w:val="0"/>
      <w:marTop w:val="0"/>
      <w:marBottom w:val="0"/>
      <w:divBdr>
        <w:top w:val="none" w:sz="0" w:space="0" w:color="auto"/>
        <w:left w:val="none" w:sz="0" w:space="0" w:color="auto"/>
        <w:bottom w:val="none" w:sz="0" w:space="0" w:color="auto"/>
        <w:right w:val="none" w:sz="0" w:space="0" w:color="auto"/>
      </w:divBdr>
    </w:div>
    <w:div w:id="796021567">
      <w:bodyDiv w:val="1"/>
      <w:marLeft w:val="0"/>
      <w:marRight w:val="0"/>
      <w:marTop w:val="0"/>
      <w:marBottom w:val="0"/>
      <w:divBdr>
        <w:top w:val="none" w:sz="0" w:space="0" w:color="auto"/>
        <w:left w:val="none" w:sz="0" w:space="0" w:color="auto"/>
        <w:bottom w:val="none" w:sz="0" w:space="0" w:color="auto"/>
        <w:right w:val="none" w:sz="0" w:space="0" w:color="auto"/>
      </w:divBdr>
    </w:div>
    <w:div w:id="916480880">
      <w:bodyDiv w:val="1"/>
      <w:marLeft w:val="0"/>
      <w:marRight w:val="0"/>
      <w:marTop w:val="0"/>
      <w:marBottom w:val="0"/>
      <w:divBdr>
        <w:top w:val="none" w:sz="0" w:space="0" w:color="auto"/>
        <w:left w:val="none" w:sz="0" w:space="0" w:color="auto"/>
        <w:bottom w:val="none" w:sz="0" w:space="0" w:color="auto"/>
        <w:right w:val="none" w:sz="0" w:space="0" w:color="auto"/>
      </w:divBdr>
    </w:div>
    <w:div w:id="1126970464">
      <w:bodyDiv w:val="1"/>
      <w:marLeft w:val="0"/>
      <w:marRight w:val="0"/>
      <w:marTop w:val="0"/>
      <w:marBottom w:val="0"/>
      <w:divBdr>
        <w:top w:val="none" w:sz="0" w:space="0" w:color="auto"/>
        <w:left w:val="none" w:sz="0" w:space="0" w:color="auto"/>
        <w:bottom w:val="none" w:sz="0" w:space="0" w:color="auto"/>
        <w:right w:val="none" w:sz="0" w:space="0" w:color="auto"/>
      </w:divBdr>
    </w:div>
    <w:div w:id="1202748613">
      <w:bodyDiv w:val="1"/>
      <w:marLeft w:val="0"/>
      <w:marRight w:val="0"/>
      <w:marTop w:val="0"/>
      <w:marBottom w:val="0"/>
      <w:divBdr>
        <w:top w:val="none" w:sz="0" w:space="0" w:color="auto"/>
        <w:left w:val="none" w:sz="0" w:space="0" w:color="auto"/>
        <w:bottom w:val="none" w:sz="0" w:space="0" w:color="auto"/>
        <w:right w:val="none" w:sz="0" w:space="0" w:color="auto"/>
      </w:divBdr>
    </w:div>
    <w:div w:id="1239555406">
      <w:bodyDiv w:val="1"/>
      <w:marLeft w:val="0"/>
      <w:marRight w:val="0"/>
      <w:marTop w:val="0"/>
      <w:marBottom w:val="0"/>
      <w:divBdr>
        <w:top w:val="none" w:sz="0" w:space="0" w:color="auto"/>
        <w:left w:val="none" w:sz="0" w:space="0" w:color="auto"/>
        <w:bottom w:val="none" w:sz="0" w:space="0" w:color="auto"/>
        <w:right w:val="none" w:sz="0" w:space="0" w:color="auto"/>
      </w:divBdr>
    </w:div>
    <w:div w:id="1240483660">
      <w:bodyDiv w:val="1"/>
      <w:marLeft w:val="0"/>
      <w:marRight w:val="0"/>
      <w:marTop w:val="0"/>
      <w:marBottom w:val="0"/>
      <w:divBdr>
        <w:top w:val="none" w:sz="0" w:space="0" w:color="auto"/>
        <w:left w:val="none" w:sz="0" w:space="0" w:color="auto"/>
        <w:bottom w:val="none" w:sz="0" w:space="0" w:color="auto"/>
        <w:right w:val="none" w:sz="0" w:space="0" w:color="auto"/>
      </w:divBdr>
    </w:div>
    <w:div w:id="1266881771">
      <w:bodyDiv w:val="1"/>
      <w:marLeft w:val="0"/>
      <w:marRight w:val="0"/>
      <w:marTop w:val="0"/>
      <w:marBottom w:val="0"/>
      <w:divBdr>
        <w:top w:val="none" w:sz="0" w:space="0" w:color="auto"/>
        <w:left w:val="none" w:sz="0" w:space="0" w:color="auto"/>
        <w:bottom w:val="none" w:sz="0" w:space="0" w:color="auto"/>
        <w:right w:val="none" w:sz="0" w:space="0" w:color="auto"/>
      </w:divBdr>
    </w:div>
    <w:div w:id="1335297822">
      <w:bodyDiv w:val="1"/>
      <w:marLeft w:val="0"/>
      <w:marRight w:val="0"/>
      <w:marTop w:val="0"/>
      <w:marBottom w:val="0"/>
      <w:divBdr>
        <w:top w:val="none" w:sz="0" w:space="0" w:color="auto"/>
        <w:left w:val="none" w:sz="0" w:space="0" w:color="auto"/>
        <w:bottom w:val="none" w:sz="0" w:space="0" w:color="auto"/>
        <w:right w:val="none" w:sz="0" w:space="0" w:color="auto"/>
      </w:divBdr>
    </w:div>
    <w:div w:id="1377700918">
      <w:bodyDiv w:val="1"/>
      <w:marLeft w:val="0"/>
      <w:marRight w:val="0"/>
      <w:marTop w:val="0"/>
      <w:marBottom w:val="0"/>
      <w:divBdr>
        <w:top w:val="none" w:sz="0" w:space="0" w:color="auto"/>
        <w:left w:val="none" w:sz="0" w:space="0" w:color="auto"/>
        <w:bottom w:val="none" w:sz="0" w:space="0" w:color="auto"/>
        <w:right w:val="none" w:sz="0" w:space="0" w:color="auto"/>
      </w:divBdr>
    </w:div>
    <w:div w:id="1452163645">
      <w:bodyDiv w:val="1"/>
      <w:marLeft w:val="0"/>
      <w:marRight w:val="0"/>
      <w:marTop w:val="0"/>
      <w:marBottom w:val="0"/>
      <w:divBdr>
        <w:top w:val="none" w:sz="0" w:space="0" w:color="auto"/>
        <w:left w:val="none" w:sz="0" w:space="0" w:color="auto"/>
        <w:bottom w:val="none" w:sz="0" w:space="0" w:color="auto"/>
        <w:right w:val="none" w:sz="0" w:space="0" w:color="auto"/>
      </w:divBdr>
    </w:div>
    <w:div w:id="1497452006">
      <w:bodyDiv w:val="1"/>
      <w:marLeft w:val="0"/>
      <w:marRight w:val="0"/>
      <w:marTop w:val="0"/>
      <w:marBottom w:val="0"/>
      <w:divBdr>
        <w:top w:val="none" w:sz="0" w:space="0" w:color="auto"/>
        <w:left w:val="none" w:sz="0" w:space="0" w:color="auto"/>
        <w:bottom w:val="none" w:sz="0" w:space="0" w:color="auto"/>
        <w:right w:val="none" w:sz="0" w:space="0" w:color="auto"/>
      </w:divBdr>
    </w:div>
    <w:div w:id="1517766938">
      <w:bodyDiv w:val="1"/>
      <w:marLeft w:val="0"/>
      <w:marRight w:val="0"/>
      <w:marTop w:val="0"/>
      <w:marBottom w:val="0"/>
      <w:divBdr>
        <w:top w:val="none" w:sz="0" w:space="0" w:color="auto"/>
        <w:left w:val="none" w:sz="0" w:space="0" w:color="auto"/>
        <w:bottom w:val="none" w:sz="0" w:space="0" w:color="auto"/>
        <w:right w:val="none" w:sz="0" w:space="0" w:color="auto"/>
      </w:divBdr>
    </w:div>
    <w:div w:id="1602839382">
      <w:bodyDiv w:val="1"/>
      <w:marLeft w:val="0"/>
      <w:marRight w:val="0"/>
      <w:marTop w:val="0"/>
      <w:marBottom w:val="0"/>
      <w:divBdr>
        <w:top w:val="none" w:sz="0" w:space="0" w:color="auto"/>
        <w:left w:val="none" w:sz="0" w:space="0" w:color="auto"/>
        <w:bottom w:val="none" w:sz="0" w:space="0" w:color="auto"/>
        <w:right w:val="none" w:sz="0" w:space="0" w:color="auto"/>
      </w:divBdr>
    </w:div>
    <w:div w:id="1706103054">
      <w:bodyDiv w:val="1"/>
      <w:marLeft w:val="0"/>
      <w:marRight w:val="0"/>
      <w:marTop w:val="0"/>
      <w:marBottom w:val="0"/>
      <w:divBdr>
        <w:top w:val="none" w:sz="0" w:space="0" w:color="auto"/>
        <w:left w:val="none" w:sz="0" w:space="0" w:color="auto"/>
        <w:bottom w:val="none" w:sz="0" w:space="0" w:color="auto"/>
        <w:right w:val="none" w:sz="0" w:space="0" w:color="auto"/>
      </w:divBdr>
    </w:div>
    <w:div w:id="1753770154">
      <w:bodyDiv w:val="1"/>
      <w:marLeft w:val="0"/>
      <w:marRight w:val="0"/>
      <w:marTop w:val="0"/>
      <w:marBottom w:val="0"/>
      <w:divBdr>
        <w:top w:val="none" w:sz="0" w:space="0" w:color="auto"/>
        <w:left w:val="none" w:sz="0" w:space="0" w:color="auto"/>
        <w:bottom w:val="none" w:sz="0" w:space="0" w:color="auto"/>
        <w:right w:val="none" w:sz="0" w:space="0" w:color="auto"/>
      </w:divBdr>
    </w:div>
    <w:div w:id="1939634801">
      <w:bodyDiv w:val="1"/>
      <w:marLeft w:val="0"/>
      <w:marRight w:val="0"/>
      <w:marTop w:val="0"/>
      <w:marBottom w:val="0"/>
      <w:divBdr>
        <w:top w:val="none" w:sz="0" w:space="0" w:color="auto"/>
        <w:left w:val="none" w:sz="0" w:space="0" w:color="auto"/>
        <w:bottom w:val="none" w:sz="0" w:space="0" w:color="auto"/>
        <w:right w:val="none" w:sz="0" w:space="0" w:color="auto"/>
      </w:divBdr>
    </w:div>
    <w:div w:id="19698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郭迪[地质矿产资源管理处]</dc:creator>
  <cp:keywords/>
  <dc:description/>
  <cp:lastModifiedBy>Windows 用户</cp:lastModifiedBy>
  <cp:revision>18</cp:revision>
  <dcterms:created xsi:type="dcterms:W3CDTF">2022-11-03T05:53:00Z</dcterms:created>
  <dcterms:modified xsi:type="dcterms:W3CDTF">2026-02-10T02:16:00Z</dcterms:modified>
</cp:coreProperties>
</file>