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8"/>
        <w:tblW w:w="0" w:type="auto"/>
        <w:tblLook w:val="04A0" w:firstRow="1" w:lastRow="0" w:firstColumn="1" w:lastColumn="0" w:noHBand="0" w:noVBand="1"/>
      </w:tblPr>
      <w:tblGrid>
        <w:gridCol w:w="10082"/>
      </w:tblGrid>
      <w:tr w:rsidR="006E5555">
        <w:trPr>
          <w:trHeight w:val="1548"/>
        </w:trPr>
        <w:tc>
          <w:tcPr>
            <w:tcW w:w="10402" w:type="dxa"/>
            <w:tcBorders>
              <w:top w:val="nil"/>
              <w:left w:val="nil"/>
              <w:bottom w:val="nil"/>
              <w:right w:val="nil"/>
            </w:tcBorders>
          </w:tcPr>
          <w:p w:rsidR="006E5555" w:rsidRDefault="006E5555">
            <w:pPr>
              <w:pStyle w:val="a4"/>
              <w:spacing w:line="550" w:lineRule="exact"/>
              <w:rPr>
                <w:rFonts w:ascii="仿宋" w:eastAsia="仿宋" w:hAnsi="仿宋" w:cs="仿宋"/>
                <w:b/>
                <w:bCs/>
                <w:color w:val="FF0000"/>
                <w:sz w:val="22"/>
                <w:szCs w:val="22"/>
              </w:rPr>
            </w:pPr>
            <w:bookmarkStart w:id="0" w:name="_GoBack"/>
            <w:bookmarkEnd w:id="0"/>
          </w:p>
        </w:tc>
      </w:tr>
      <w:tr w:rsidR="006E5555">
        <w:trPr>
          <w:trHeight w:val="4945"/>
        </w:trPr>
        <w:tc>
          <w:tcPr>
            <w:tcW w:w="10402" w:type="dxa"/>
            <w:tcBorders>
              <w:top w:val="nil"/>
              <w:left w:val="nil"/>
              <w:bottom w:val="nil"/>
              <w:right w:val="nil"/>
            </w:tcBorders>
            <w:vAlign w:val="center"/>
          </w:tcPr>
          <w:p w:rsidR="006E5555" w:rsidRDefault="00744F51">
            <w:pPr>
              <w:ind w:rightChars="129" w:right="284"/>
              <w:jc w:val="center"/>
              <w:rPr>
                <w:rFonts w:ascii="仿宋" w:eastAsia="仿宋" w:hAnsi="仿宋" w:cs="仿宋"/>
                <w:b/>
                <w:bCs/>
                <w:color w:val="FF0000"/>
              </w:rPr>
            </w:pPr>
            <w:r>
              <w:rPr>
                <w:rFonts w:ascii="宋体" w:eastAsia="宋体" w:hAnsi="宋体" w:cs="宋体"/>
                <w:b/>
                <w:sz w:val="52"/>
              </w:rPr>
              <w:t>2023</w:t>
            </w:r>
            <w:r>
              <w:rPr>
                <w:rFonts w:ascii="宋体" w:eastAsia="宋体" w:hAnsi="宋体" w:cs="宋体"/>
                <w:b/>
                <w:sz w:val="52"/>
              </w:rPr>
              <w:t>年度</w:t>
            </w:r>
            <w:r>
              <w:rPr>
                <w:rFonts w:ascii="宋体" w:eastAsia="宋体" w:hAnsi="宋体" w:cs="宋体"/>
                <w:b/>
                <w:sz w:val="52"/>
              </w:rPr>
              <w:t xml:space="preserve"> </w:t>
            </w:r>
            <w:r>
              <w:rPr>
                <w:rFonts w:ascii="宋体" w:eastAsia="宋体" w:hAnsi="宋体" w:cs="宋体"/>
                <w:b/>
                <w:sz w:val="52"/>
              </w:rPr>
              <w:br/>
            </w:r>
            <w:r>
              <w:rPr>
                <w:rFonts w:ascii="宋体" w:eastAsia="宋体" w:hAnsi="宋体" w:cs="宋体"/>
                <w:b/>
                <w:sz w:val="52"/>
              </w:rPr>
              <w:t>无锡市自然资源和规划局（本级）</w:t>
            </w:r>
            <w:r>
              <w:rPr>
                <w:rFonts w:ascii="宋体" w:eastAsia="宋体" w:hAnsi="宋体" w:cs="宋体"/>
                <w:b/>
                <w:sz w:val="52"/>
              </w:rPr>
              <w:t xml:space="preserve"> </w:t>
            </w:r>
            <w:r>
              <w:rPr>
                <w:rFonts w:ascii="宋体" w:eastAsia="宋体" w:hAnsi="宋体" w:cs="宋体"/>
                <w:b/>
                <w:sz w:val="52"/>
              </w:rPr>
              <w:br/>
            </w:r>
            <w:r>
              <w:rPr>
                <w:rFonts w:ascii="宋体" w:eastAsia="宋体" w:hAnsi="宋体" w:cs="宋体"/>
                <w:b/>
                <w:sz w:val="52"/>
              </w:rPr>
              <w:t>单位预算公开</w:t>
            </w:r>
          </w:p>
        </w:tc>
      </w:tr>
    </w:tbl>
    <w:p w:rsidR="006E5555" w:rsidRDefault="006E5555">
      <w:pPr>
        <w:ind w:rightChars="129" w:right="284"/>
        <w:jc w:val="both"/>
        <w:rPr>
          <w:rFonts w:ascii="宋体" w:eastAsia="宋体" w:hAnsi="宋体" w:cs="宋体"/>
          <w:b/>
          <w:bCs/>
          <w:sz w:val="52"/>
          <w:szCs w:val="52"/>
        </w:rPr>
        <w:sectPr w:rsidR="006E5555">
          <w:headerReference w:type="default" r:id="rId8"/>
          <w:headerReference w:type="first" r:id="rId9"/>
          <w:pgSz w:w="11906" w:h="16838"/>
          <w:pgMar w:top="1580" w:right="1020" w:bottom="770" w:left="1020" w:header="170" w:footer="280" w:gutter="0"/>
          <w:cols w:space="720"/>
          <w:formProt w:val="0"/>
          <w:titlePg/>
          <w:docGrid w:linePitch="100"/>
        </w:sectPr>
      </w:pPr>
    </w:p>
    <w:p w:rsidR="006E5555" w:rsidRDefault="006E5555">
      <w:pPr>
        <w:pStyle w:val="a4"/>
        <w:spacing w:before="4"/>
        <w:rPr>
          <w:rFonts w:ascii="华文仿宋" w:eastAsia="华文仿宋" w:hAnsi="华文仿宋" w:cs="仿宋"/>
          <w:sz w:val="10"/>
        </w:rPr>
      </w:pPr>
    </w:p>
    <w:p w:rsidR="006E5555" w:rsidRDefault="00744F51">
      <w:pPr>
        <w:pStyle w:val="2"/>
        <w:tabs>
          <w:tab w:val="left" w:pos="880"/>
        </w:tabs>
        <w:snapToGrid w:val="0"/>
        <w:ind w:right="313"/>
        <w:rPr>
          <w:rFonts w:ascii="仿宋" w:eastAsia="仿宋" w:hAnsi="仿宋" w:cs="仿宋"/>
        </w:rPr>
      </w:pPr>
      <w:r>
        <w:rPr>
          <w:rFonts w:ascii="仿宋" w:eastAsia="仿宋" w:hAnsi="仿宋" w:cs="仿宋" w:hint="eastAsia"/>
          <w:b/>
          <w:bCs/>
        </w:rPr>
        <w:t>目</w:t>
      </w:r>
      <w:r>
        <w:rPr>
          <w:rFonts w:ascii="仿宋" w:eastAsia="仿宋" w:hAnsi="仿宋" w:cs="仿宋" w:hint="eastAsia"/>
          <w:b/>
          <w:bCs/>
        </w:rPr>
        <w:tab/>
      </w:r>
      <w:r>
        <w:rPr>
          <w:rFonts w:ascii="仿宋" w:eastAsia="仿宋" w:hAnsi="仿宋" w:cs="仿宋" w:hint="eastAsia"/>
          <w:b/>
          <w:bCs/>
        </w:rPr>
        <w:t>录</w:t>
      </w:r>
    </w:p>
    <w:p w:rsidR="006E5555" w:rsidRDefault="006E5555">
      <w:pPr>
        <w:pStyle w:val="a4"/>
        <w:snapToGrid w:val="0"/>
        <w:spacing w:before="7"/>
        <w:rPr>
          <w:rFonts w:ascii="仿宋" w:eastAsia="仿宋" w:hAnsi="仿宋" w:cs="仿宋"/>
          <w:sz w:val="27"/>
        </w:rPr>
      </w:pP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b/>
          <w:bCs/>
        </w:rPr>
        <w:t>第一部分</w:t>
      </w:r>
      <w:r>
        <w:rPr>
          <w:rFonts w:ascii="仿宋" w:eastAsia="仿宋" w:hAnsi="仿宋" w:cs="仿宋" w:hint="eastAsia"/>
          <w:b/>
          <w:bCs/>
        </w:rPr>
        <w:t xml:space="preserve"> </w:t>
      </w:r>
      <w:r>
        <w:rPr>
          <w:rFonts w:ascii="仿宋" w:eastAsia="仿宋" w:hAnsi="仿宋" w:cs="仿宋" w:hint="eastAsia"/>
          <w:b/>
          <w:bCs/>
          <w:lang w:val="en-US"/>
        </w:rPr>
        <w:t>单位</w:t>
      </w:r>
      <w:r>
        <w:rPr>
          <w:rFonts w:ascii="仿宋" w:eastAsia="仿宋" w:hAnsi="仿宋" w:cs="仿宋" w:hint="eastAsia"/>
          <w:b/>
          <w:bCs/>
        </w:rPr>
        <w:t>概况</w:t>
      </w:r>
    </w:p>
    <w:p w:rsidR="006E5555" w:rsidRDefault="00744F51">
      <w:pPr>
        <w:pStyle w:val="a4"/>
        <w:tabs>
          <w:tab w:val="left" w:pos="2249"/>
        </w:tabs>
        <w:snapToGrid w:val="0"/>
        <w:spacing w:line="312" w:lineRule="auto"/>
        <w:ind w:leftChars="300" w:left="671" w:hanging="11"/>
        <w:jc w:val="both"/>
        <w:rPr>
          <w:rFonts w:ascii="仿宋" w:eastAsia="仿宋" w:hAnsi="仿宋" w:cs="仿宋"/>
        </w:rPr>
      </w:pPr>
      <w:r>
        <w:rPr>
          <w:rFonts w:ascii="仿宋" w:eastAsia="仿宋" w:hAnsi="仿宋" w:cs="仿宋" w:hint="eastAsia"/>
        </w:rPr>
        <w:t>一、主要职能</w:t>
      </w:r>
    </w:p>
    <w:p w:rsidR="006E5555" w:rsidRDefault="00744F51">
      <w:pPr>
        <w:pStyle w:val="a4"/>
        <w:tabs>
          <w:tab w:val="left" w:pos="2249"/>
        </w:tabs>
        <w:snapToGrid w:val="0"/>
        <w:spacing w:line="312" w:lineRule="auto"/>
        <w:ind w:leftChars="300" w:left="671" w:hanging="11"/>
        <w:jc w:val="both"/>
        <w:rPr>
          <w:rFonts w:ascii="仿宋" w:eastAsia="仿宋" w:hAnsi="仿宋" w:cs="仿宋"/>
        </w:rPr>
      </w:pPr>
      <w:r>
        <w:rPr>
          <w:rFonts w:ascii="仿宋" w:eastAsia="仿宋" w:hAnsi="仿宋" w:cs="仿宋" w:hint="eastAsia"/>
        </w:rPr>
        <w:t>二、</w:t>
      </w:r>
      <w:r>
        <w:rPr>
          <w:rFonts w:ascii="仿宋" w:eastAsia="仿宋" w:hAnsi="仿宋" w:cs="仿宋" w:hint="eastAsia"/>
          <w:lang w:val="en-US"/>
        </w:rPr>
        <w:t>单位</w:t>
      </w:r>
      <w:r>
        <w:rPr>
          <w:rFonts w:ascii="仿宋" w:eastAsia="仿宋" w:hAnsi="仿宋" w:cs="仿宋" w:hint="eastAsia"/>
        </w:rPr>
        <w:t>机构设置及预算单位构成情况</w:t>
      </w:r>
    </w:p>
    <w:p w:rsidR="006E5555" w:rsidRDefault="00744F51">
      <w:pPr>
        <w:pStyle w:val="a4"/>
        <w:tabs>
          <w:tab w:val="left" w:pos="2249"/>
        </w:tabs>
        <w:snapToGrid w:val="0"/>
        <w:spacing w:line="312" w:lineRule="auto"/>
        <w:ind w:leftChars="300" w:left="671" w:hanging="11"/>
        <w:jc w:val="both"/>
        <w:rPr>
          <w:rFonts w:ascii="仿宋" w:eastAsia="仿宋" w:hAnsi="仿宋" w:cs="仿宋"/>
        </w:rPr>
      </w:pPr>
      <w:r>
        <w:rPr>
          <w:rFonts w:ascii="仿宋" w:eastAsia="仿宋" w:hAnsi="仿宋" w:cs="仿宋" w:hint="eastAsia"/>
        </w:rPr>
        <w:t>三、</w:t>
      </w:r>
      <w:r>
        <w:rPr>
          <w:rFonts w:ascii="仿宋" w:eastAsia="仿宋" w:hAnsi="仿宋" w:cs="仿宋" w:hint="eastAsia"/>
        </w:rPr>
        <w:t>2023</w:t>
      </w:r>
      <w:r>
        <w:rPr>
          <w:rFonts w:ascii="仿宋" w:eastAsia="仿宋" w:hAnsi="仿宋" w:cs="仿宋" w:hint="eastAsia"/>
        </w:rPr>
        <w:t>年度</w:t>
      </w:r>
      <w:r>
        <w:rPr>
          <w:rFonts w:ascii="仿宋" w:eastAsia="仿宋" w:hAnsi="仿宋" w:cs="仿宋" w:hint="eastAsia"/>
          <w:lang w:val="en-US"/>
        </w:rPr>
        <w:t>单位</w:t>
      </w:r>
      <w:r>
        <w:rPr>
          <w:rFonts w:ascii="仿宋" w:eastAsia="仿宋" w:hAnsi="仿宋" w:cs="仿宋" w:hint="eastAsia"/>
        </w:rPr>
        <w:t>主要工作任务及目标</w:t>
      </w:r>
    </w:p>
    <w:p w:rsidR="006E5555" w:rsidRDefault="00744F51">
      <w:pPr>
        <w:pStyle w:val="a4"/>
        <w:snapToGrid w:val="0"/>
        <w:spacing w:line="312" w:lineRule="auto"/>
        <w:ind w:leftChars="300" w:left="671" w:hanging="11"/>
        <w:jc w:val="both"/>
        <w:rPr>
          <w:rFonts w:ascii="仿宋" w:eastAsia="仿宋" w:hAnsi="仿宋" w:cs="仿宋"/>
          <w:b/>
          <w:bCs/>
        </w:rPr>
      </w:pPr>
      <w:r>
        <w:rPr>
          <w:rFonts w:ascii="仿宋" w:eastAsia="仿宋" w:hAnsi="仿宋" w:cs="仿宋" w:hint="eastAsia"/>
          <w:b/>
          <w:bCs/>
          <w:lang w:val="en-US"/>
        </w:rPr>
        <w:t>第二部分</w:t>
      </w:r>
      <w:r>
        <w:rPr>
          <w:rFonts w:ascii="仿宋" w:eastAsia="仿宋" w:hAnsi="仿宋" w:cs="仿宋" w:hint="eastAsia"/>
          <w:b/>
          <w:bCs/>
          <w:lang w:val="en-US"/>
        </w:rPr>
        <w:t xml:space="preserve"> </w:t>
      </w:r>
      <w:r>
        <w:rPr>
          <w:rFonts w:ascii="仿宋" w:eastAsia="仿宋" w:hAnsi="仿宋" w:cs="仿宋" w:hint="eastAsia"/>
          <w:b/>
          <w:bCs/>
          <w:color w:val="000000"/>
          <w:sz w:val="30"/>
          <w:szCs w:val="30"/>
          <w:lang w:val="en-US" w:bidi="ar"/>
        </w:rPr>
        <w:t>2023</w:t>
      </w:r>
      <w:r>
        <w:rPr>
          <w:rFonts w:ascii="仿宋" w:eastAsia="仿宋" w:hAnsi="仿宋" w:cs="仿宋" w:hint="eastAsia"/>
          <w:b/>
          <w:bCs/>
          <w:lang w:val="en-US"/>
        </w:rPr>
        <w:t>年度</w:t>
      </w:r>
      <w:r>
        <w:rPr>
          <w:rFonts w:ascii="仿宋" w:eastAsia="仿宋" w:hAnsi="仿宋" w:cs="仿宋"/>
          <w:b/>
        </w:rPr>
        <w:t>单位预算表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一、收支总表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二、收入总表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三、支出总表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四、财政拨款收支总表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五、财政拨款支出表（功能科目）</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六、财政拨款基本支出表（经济科目）</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七、一般公共预算支出表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八、一般公共预算基本支出表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九、一般公共预算“三公”经费、会议费、培训费支出表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十、政府性基金预算支出表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十</w:t>
      </w:r>
      <w:r>
        <w:rPr>
          <w:rFonts w:ascii="仿宋" w:eastAsia="仿宋" w:hAnsi="仿宋" w:cs="仿宋" w:hint="eastAsia"/>
          <w:lang w:val="en-US"/>
        </w:rPr>
        <w:t>一</w:t>
      </w:r>
      <w:r>
        <w:rPr>
          <w:rFonts w:ascii="仿宋" w:eastAsia="仿宋" w:hAnsi="仿宋" w:cs="仿宋" w:hint="eastAsia"/>
        </w:rPr>
        <w:t>、国有资本经营预算支出预算表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十</w:t>
      </w:r>
      <w:r>
        <w:rPr>
          <w:rFonts w:ascii="仿宋" w:eastAsia="仿宋" w:hAnsi="仿宋" w:cs="仿宋" w:hint="eastAsia"/>
          <w:lang w:val="en-US"/>
        </w:rPr>
        <w:t>二</w:t>
      </w:r>
      <w:r>
        <w:rPr>
          <w:rFonts w:ascii="仿宋" w:eastAsia="仿宋" w:hAnsi="仿宋" w:cs="仿宋" w:hint="eastAsia"/>
        </w:rPr>
        <w:t>、一般公共预算机关运行经费支出</w:t>
      </w:r>
      <w:r>
        <w:rPr>
          <w:rFonts w:ascii="仿宋" w:eastAsia="仿宋" w:hAnsi="仿宋" w:cs="仿宋" w:hint="eastAsia"/>
          <w:lang w:val="en-US"/>
        </w:rPr>
        <w:t>预算</w:t>
      </w:r>
      <w:r>
        <w:rPr>
          <w:rFonts w:ascii="仿宋" w:eastAsia="仿宋" w:hAnsi="仿宋" w:cs="仿宋" w:hint="eastAsia"/>
        </w:rPr>
        <w:t>表</w:t>
      </w:r>
    </w:p>
    <w:p w:rsidR="006E5555" w:rsidRDefault="00744F51">
      <w:pPr>
        <w:pStyle w:val="a4"/>
        <w:snapToGrid w:val="0"/>
        <w:spacing w:line="312" w:lineRule="auto"/>
        <w:ind w:leftChars="300" w:left="671" w:hanging="11"/>
        <w:jc w:val="both"/>
        <w:rPr>
          <w:rFonts w:ascii="仿宋" w:eastAsia="仿宋" w:hAnsi="仿宋" w:cs="仿宋"/>
        </w:rPr>
      </w:pPr>
      <w:r>
        <w:rPr>
          <w:rFonts w:ascii="仿宋" w:eastAsia="仿宋" w:hAnsi="仿宋" w:cs="仿宋" w:hint="eastAsia"/>
        </w:rPr>
        <w:t>十</w:t>
      </w:r>
      <w:r>
        <w:rPr>
          <w:rFonts w:ascii="仿宋" w:eastAsia="仿宋" w:hAnsi="仿宋" w:cs="仿宋" w:hint="eastAsia"/>
          <w:lang w:val="en-US"/>
        </w:rPr>
        <w:t>三</w:t>
      </w:r>
      <w:r>
        <w:rPr>
          <w:rFonts w:ascii="仿宋" w:eastAsia="仿宋" w:hAnsi="仿宋" w:cs="仿宋" w:hint="eastAsia"/>
        </w:rPr>
        <w:t>、政府采购支出表</w:t>
      </w:r>
    </w:p>
    <w:p w:rsidR="006E5555" w:rsidRDefault="00744F51">
      <w:pPr>
        <w:pStyle w:val="a4"/>
        <w:snapToGrid w:val="0"/>
        <w:spacing w:line="312" w:lineRule="auto"/>
        <w:ind w:leftChars="300" w:left="671" w:right="506" w:hanging="11"/>
        <w:jc w:val="both"/>
        <w:rPr>
          <w:rFonts w:ascii="仿宋" w:eastAsia="仿宋" w:hAnsi="仿宋" w:cs="仿宋"/>
          <w:b/>
          <w:bCs/>
          <w:color w:val="000000"/>
          <w:sz w:val="30"/>
          <w:szCs w:val="30"/>
          <w:lang w:val="en-US" w:bidi="ar"/>
        </w:rPr>
      </w:pPr>
      <w:r>
        <w:rPr>
          <w:rFonts w:ascii="仿宋" w:eastAsia="仿宋" w:hAnsi="仿宋" w:cs="仿宋" w:hint="eastAsia"/>
          <w:b/>
          <w:bCs/>
          <w:lang w:val="en-US"/>
        </w:rPr>
        <w:t>第三部分</w:t>
      </w:r>
      <w:r>
        <w:rPr>
          <w:rFonts w:ascii="仿宋" w:eastAsia="仿宋" w:hAnsi="仿宋" w:cs="仿宋" w:hint="eastAsia"/>
          <w:b/>
          <w:bCs/>
          <w:lang w:val="en-US"/>
        </w:rPr>
        <w:t xml:space="preserve"> </w:t>
      </w:r>
      <w:r>
        <w:rPr>
          <w:rFonts w:ascii="仿宋" w:eastAsia="仿宋" w:hAnsi="仿宋" w:cs="仿宋" w:hint="eastAsia"/>
          <w:b/>
          <w:bCs/>
          <w:color w:val="000000"/>
          <w:sz w:val="30"/>
          <w:szCs w:val="30"/>
          <w:lang w:val="en-US" w:bidi="ar"/>
        </w:rPr>
        <w:t>2023</w:t>
      </w:r>
      <w:r>
        <w:rPr>
          <w:rFonts w:ascii="仿宋" w:eastAsia="仿宋" w:hAnsi="仿宋" w:cs="仿宋" w:hint="eastAsia"/>
          <w:b/>
          <w:bCs/>
          <w:color w:val="000000"/>
          <w:sz w:val="30"/>
          <w:szCs w:val="30"/>
          <w:lang w:val="en-US" w:bidi="ar"/>
        </w:rPr>
        <w:t>年度</w:t>
      </w:r>
      <w:r>
        <w:rPr>
          <w:rFonts w:ascii="仿宋" w:eastAsia="仿宋" w:hAnsi="仿宋" w:cs="仿宋"/>
          <w:b/>
          <w:color w:val="000000"/>
          <w:sz w:val="30"/>
        </w:rPr>
        <w:t>单位</w:t>
      </w:r>
      <w:r>
        <w:rPr>
          <w:rFonts w:ascii="仿宋" w:eastAsia="仿宋" w:hAnsi="仿宋" w:cs="仿宋" w:hint="eastAsia"/>
          <w:b/>
          <w:bCs/>
          <w:color w:val="000000"/>
          <w:sz w:val="30"/>
          <w:szCs w:val="30"/>
          <w:lang w:val="en-US" w:bidi="ar"/>
        </w:rPr>
        <w:t>预算</w:t>
      </w:r>
      <w:r>
        <w:rPr>
          <w:rFonts w:ascii="仿宋" w:eastAsia="仿宋" w:hAnsi="仿宋" w:cs="仿宋" w:hint="eastAsia"/>
          <w:b/>
          <w:bCs/>
          <w:color w:val="000000"/>
          <w:sz w:val="30"/>
          <w:szCs w:val="30"/>
          <w:lang w:val="en-US" w:bidi="ar"/>
        </w:rPr>
        <w:t>情况说明</w:t>
      </w:r>
    </w:p>
    <w:p w:rsidR="006E5555" w:rsidRDefault="00744F51">
      <w:pPr>
        <w:pStyle w:val="a4"/>
        <w:snapToGrid w:val="0"/>
        <w:spacing w:line="312" w:lineRule="auto"/>
        <w:ind w:leftChars="300" w:left="671" w:right="2575" w:hanging="11"/>
        <w:jc w:val="both"/>
        <w:rPr>
          <w:rFonts w:ascii="仿宋" w:eastAsia="仿宋" w:hAnsi="仿宋" w:cs="仿宋"/>
          <w:b/>
          <w:bCs/>
          <w:color w:val="000000"/>
          <w:sz w:val="30"/>
          <w:szCs w:val="30"/>
          <w:lang w:val="en-US" w:bidi="ar"/>
        </w:rPr>
      </w:pPr>
      <w:r>
        <w:rPr>
          <w:rFonts w:ascii="仿宋" w:eastAsia="仿宋" w:hAnsi="仿宋" w:cs="仿宋" w:hint="eastAsia"/>
          <w:b/>
          <w:bCs/>
          <w:lang w:val="en-US"/>
        </w:rPr>
        <w:t>第</w:t>
      </w:r>
      <w:r>
        <w:rPr>
          <w:rFonts w:ascii="仿宋" w:eastAsia="仿宋" w:hAnsi="仿宋" w:cs="仿宋" w:hint="eastAsia"/>
          <w:b/>
          <w:bCs/>
          <w:lang w:val="en-US"/>
        </w:rPr>
        <w:t>四</w:t>
      </w:r>
      <w:r>
        <w:rPr>
          <w:rFonts w:ascii="仿宋" w:eastAsia="仿宋" w:hAnsi="仿宋" w:cs="仿宋" w:hint="eastAsia"/>
          <w:b/>
          <w:bCs/>
          <w:lang w:val="en-US"/>
        </w:rPr>
        <w:t>部分</w:t>
      </w:r>
      <w:r>
        <w:rPr>
          <w:rFonts w:ascii="仿宋" w:eastAsia="仿宋" w:hAnsi="仿宋" w:cs="仿宋" w:hint="eastAsia"/>
          <w:b/>
          <w:bCs/>
          <w:lang w:val="en-US"/>
        </w:rPr>
        <w:t xml:space="preserve"> </w:t>
      </w:r>
      <w:r>
        <w:rPr>
          <w:rFonts w:ascii="仿宋" w:eastAsia="仿宋" w:hAnsi="仿宋" w:cs="仿宋" w:hint="eastAsia"/>
          <w:b/>
          <w:bCs/>
          <w:lang w:val="en-US"/>
        </w:rPr>
        <w:t>名词解释</w:t>
      </w:r>
    </w:p>
    <w:p w:rsidR="006E5555" w:rsidRDefault="006E5555">
      <w:pPr>
        <w:pStyle w:val="a4"/>
        <w:snapToGrid w:val="0"/>
        <w:spacing w:line="312" w:lineRule="auto"/>
        <w:ind w:leftChars="300" w:left="669" w:right="2414" w:hanging="9"/>
        <w:jc w:val="both"/>
        <w:rPr>
          <w:rFonts w:ascii="仿宋" w:eastAsia="仿宋" w:hAnsi="仿宋" w:cs="仿宋"/>
        </w:rPr>
        <w:sectPr w:rsidR="006E5555">
          <w:footerReference w:type="default" r:id="rId10"/>
          <w:pgSz w:w="11906" w:h="16838"/>
          <w:pgMar w:top="1580" w:right="1020" w:bottom="770" w:left="1020" w:header="170" w:footer="280" w:gutter="0"/>
          <w:pgNumType w:fmt="numberInDash" w:start="1"/>
          <w:cols w:space="720"/>
          <w:formProt w:val="0"/>
          <w:docGrid w:linePitch="100"/>
        </w:sectPr>
      </w:pPr>
    </w:p>
    <w:p w:rsidR="006E5555" w:rsidRDefault="006E5555">
      <w:pPr>
        <w:pStyle w:val="a4"/>
        <w:spacing w:before="1"/>
        <w:rPr>
          <w:rFonts w:ascii="华文仿宋" w:eastAsia="华文仿宋" w:hAnsi="华文仿宋" w:cs="仿宋"/>
          <w:sz w:val="14"/>
        </w:rPr>
      </w:pPr>
    </w:p>
    <w:p w:rsidR="006E5555" w:rsidRDefault="00744F51">
      <w:pPr>
        <w:pStyle w:val="4"/>
        <w:tabs>
          <w:tab w:val="left" w:pos="4395"/>
        </w:tabs>
        <w:spacing w:line="606" w:lineRule="exact"/>
        <w:ind w:rightChars="229" w:right="504"/>
        <w:rPr>
          <w:rFonts w:ascii="仿宋" w:eastAsia="仿宋" w:hAnsi="仿宋" w:cs="仿宋"/>
          <w:b/>
          <w:bCs/>
        </w:rPr>
      </w:pPr>
      <w:r>
        <w:rPr>
          <w:rFonts w:ascii="仿宋" w:eastAsia="仿宋" w:hAnsi="仿宋" w:cs="仿宋" w:hint="eastAsia"/>
          <w:b/>
          <w:bCs/>
        </w:rPr>
        <w:t>第一部分</w:t>
      </w:r>
      <w:r>
        <w:rPr>
          <w:rFonts w:ascii="仿宋" w:eastAsia="仿宋" w:hAnsi="仿宋" w:cs="仿宋" w:hint="eastAsia"/>
          <w:b/>
          <w:bCs/>
          <w:lang w:val="en-US"/>
        </w:rPr>
        <w:t xml:space="preserve"> </w:t>
      </w:r>
      <w:r>
        <w:rPr>
          <w:rFonts w:ascii="仿宋" w:eastAsia="仿宋" w:hAnsi="仿宋" w:cs="仿宋" w:hint="eastAsia"/>
          <w:b/>
          <w:bCs/>
        </w:rPr>
        <w:t>单位概况</w:t>
      </w:r>
    </w:p>
    <w:p w:rsidR="006E5555" w:rsidRDefault="006E5555">
      <w:pPr>
        <w:ind w:rightChars="229" w:right="504"/>
        <w:jc w:val="both"/>
      </w:pPr>
    </w:p>
    <w:p w:rsidR="006E5555" w:rsidRDefault="00744F51">
      <w:pPr>
        <w:pStyle w:val="a4"/>
        <w:spacing w:line="360" w:lineRule="auto"/>
        <w:ind w:leftChars="200" w:left="440" w:rightChars="229" w:right="504" w:firstLine="658"/>
        <w:jc w:val="both"/>
        <w:rPr>
          <w:rFonts w:ascii="仿宋" w:eastAsia="仿宋" w:hAnsi="仿宋" w:cs="仿宋"/>
          <w:b/>
          <w:bCs/>
        </w:rPr>
      </w:pPr>
      <w:r>
        <w:rPr>
          <w:rFonts w:ascii="仿宋" w:eastAsia="仿宋" w:hAnsi="仿宋" w:cs="仿宋" w:hint="eastAsia"/>
          <w:b/>
          <w:bCs/>
        </w:rPr>
        <w:t>一、主要职能</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w:t>
      </w:r>
      <w:r>
        <w:rPr>
          <w:rFonts w:ascii="仿宋" w:eastAsia="仿宋" w:hAnsi="仿宋" w:cs="仿宋"/>
        </w:rPr>
        <w:t>履行全民所有土地、矿产、森林、湿地、水等自然资源资产所有者职责和国土空间用途管制职责。贯彻执行自然资源和国土空间规划及测绘、风景名胜区等法律法规。</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2.</w:t>
      </w:r>
      <w:r>
        <w:rPr>
          <w:rFonts w:ascii="仿宋" w:eastAsia="仿宋" w:hAnsi="仿宋" w:cs="仿宋"/>
        </w:rPr>
        <w:t>负责自然资源调查监测评价。贯彻执行自然资源调查监测评价的指标体系、统计标准和评价制度，组织实施自然资源基础调查、专项调查和监测，负责自然资源调查监测评价成果的监督管理和信息发布。指导市（县）自然资源调查监测评价。</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3.</w:t>
      </w:r>
      <w:r>
        <w:rPr>
          <w:rFonts w:ascii="仿宋" w:eastAsia="仿宋" w:hAnsi="仿宋" w:cs="仿宋"/>
        </w:rPr>
        <w:t>负责自然资源统一确权登记工作。组织实施各类自然资源和不动产统一确权登记、权籍调查、不动产测绘、争议调处、成果应用的制度、标准、规范。推进自然资源和不动产登记信息管理基础平台建设及运行。负责自然资源和不动产登记资料收集、整理、共享、汇交管理等。指导监督市（县）自然资源和不动产登记工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4.</w:t>
      </w:r>
      <w:r>
        <w:rPr>
          <w:rFonts w:ascii="仿宋" w:eastAsia="仿宋" w:hAnsi="仿宋" w:cs="仿宋"/>
        </w:rPr>
        <w:t>负责自然资源资产有偿使用工作。贯彻执行全民所有自然资源资产统计制度，负责全民所有自然资源资产核算。编制全民所有自然资源资产负债表，执行考核标准。贯彻执行全民所有自然资源资产划拨、出让、租赁、作价出资和土地储备政策，合理</w:t>
      </w:r>
      <w:r>
        <w:rPr>
          <w:rFonts w:ascii="仿宋" w:eastAsia="仿宋" w:hAnsi="仿宋" w:cs="仿宋"/>
        </w:rPr>
        <w:t>配置全民所有自然资源资产。负责自然资源资产价值评估管理，依法收缴相关资产收益。</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lastRenderedPageBreak/>
        <w:t>5.</w:t>
      </w:r>
      <w:r>
        <w:rPr>
          <w:rFonts w:ascii="仿宋" w:eastAsia="仿宋" w:hAnsi="仿宋" w:cs="仿宋"/>
        </w:rPr>
        <w:t>负责自然资源的合理开发利用。贯彻执行自然资源发展规划和战略，组织实施自然资源开发利用标准，建立政府公示自然资源价格体系，开展自然资源分等定级价格评估，开展自然资源利用评价考核。组织实施自然资源节约集约利用工作。负责自然资源市场监管。</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6.</w:t>
      </w:r>
      <w:r>
        <w:rPr>
          <w:rFonts w:ascii="仿宋" w:eastAsia="仿宋" w:hAnsi="仿宋" w:cs="仿宋"/>
        </w:rPr>
        <w:t>负责建立空间规划体系并监督实施。落实主体功能战略和制度，组织编制国土空间规划及相关专项规划，负责历史文化名城、名镇、名村保护规划的规划编制和管理工作，负责城市设计工作。开展国土空间开发适宜性</w:t>
      </w:r>
      <w:r>
        <w:rPr>
          <w:rFonts w:ascii="仿宋" w:eastAsia="仿宋" w:hAnsi="仿宋" w:cs="仿宋"/>
        </w:rPr>
        <w:t>评价，建立国土空间规划实施监测、评估和预警体系。组织划定生态保护红线、永久基本农田和城镇开发边界等控制线。负责建设用地、建设工程的规划管理工作。贯彻落实国土空间用途管制制度，组织拟订并实施自然资源年度利用计划，负责国土空间用途转用工作。负责土地征收征用管理工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7.</w:t>
      </w:r>
      <w:r>
        <w:rPr>
          <w:rFonts w:ascii="仿宋" w:eastAsia="仿宋" w:hAnsi="仿宋" w:cs="仿宋"/>
        </w:rPr>
        <w:t>负责统筹国土空间生态修复。组织编制国土空间生态修复规划，组织实施有关生态修复重要工程。负责统筹国土空间综合整治、土地整理复垦、矿山地质环境恢复治理及湿地修复工作。实施生态保护补偿制度和生态修复的有关政策措施。</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8.</w:t>
      </w:r>
      <w:r>
        <w:rPr>
          <w:rFonts w:ascii="仿宋" w:eastAsia="仿宋" w:hAnsi="仿宋" w:cs="仿宋"/>
        </w:rPr>
        <w:t>组织实施最严格的耕地保护制度。</w:t>
      </w:r>
      <w:r>
        <w:rPr>
          <w:rFonts w:ascii="仿宋" w:eastAsia="仿宋" w:hAnsi="仿宋" w:cs="仿宋"/>
        </w:rPr>
        <w:t>贯彻落实耕地保护政策，负责耕地数量、质量、生态保护。组织实施耕地保护责任目标考核和永久基本农田特殊保护。落实耕地占补平衡制度，监督占用耕地补偿制度执行情况。</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9.</w:t>
      </w:r>
      <w:r>
        <w:rPr>
          <w:rFonts w:ascii="仿宋" w:eastAsia="仿宋" w:hAnsi="仿宋" w:cs="仿宋"/>
        </w:rPr>
        <w:t>负责矿产资源管理。监督管理矿产资源合理利用和保</w:t>
      </w:r>
      <w:r>
        <w:rPr>
          <w:rFonts w:ascii="仿宋" w:eastAsia="仿宋" w:hAnsi="仿宋" w:cs="仿宋"/>
        </w:rPr>
        <w:lastRenderedPageBreak/>
        <w:t>护，负责矿产资源储量管理和压覆矿产资源审批。负责矿业权管理。负责古生物化石监督管理工作。保护地质遗迹，认定地质遗迹保护区。</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10.</w:t>
      </w:r>
      <w:r>
        <w:rPr>
          <w:rFonts w:ascii="仿宋" w:eastAsia="仿宋" w:hAnsi="仿宋" w:cs="仿宋"/>
        </w:rPr>
        <w:t>负责落实综合防灾减灾规划相关要求，组织编制地质灾害防治规划并指导实施。组织指导协调和监督地质灾害调查评价及隐患的普查、详查、排查，指导开展群测群防、专业监测和预报预警等工作，</w:t>
      </w:r>
      <w:r>
        <w:rPr>
          <w:rFonts w:ascii="仿宋" w:eastAsia="仿宋" w:hAnsi="仿宋" w:cs="仿宋"/>
        </w:rPr>
        <w:t>指导开展地质灾害工程治理工作。承担地质灾害应急救援的技术支撑工作。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11.</w:t>
      </w:r>
      <w:r>
        <w:rPr>
          <w:rFonts w:ascii="仿宋" w:eastAsia="仿宋" w:hAnsi="仿宋" w:cs="仿宋"/>
        </w:rPr>
        <w:t>负责林业、森林、湿地、风景名胜区和陆生野生动植物资源管理。拟订并组织实施林地、湿地保护利用规划和相关制度规定。组织编制并监督执行全市森林采伐限额。指导林业有害生物防治、检疫工作。负责古树名木保护工作。负责风景名胜区监督管理工作。组织编制并监督实施森林火灾防治规划，承担森林防火相关工作。指导并组织开展陆生野生动植物资源的保护和合理开发利用。</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12.</w:t>
      </w:r>
      <w:r>
        <w:rPr>
          <w:rFonts w:ascii="仿宋" w:eastAsia="仿宋" w:hAnsi="仿宋" w:cs="仿宋"/>
        </w:rPr>
        <w:t>负责植树造林和封山育林工作。分类指导公益林和商品林的培育，负责市级公益林的划定和管理工作。</w:t>
      </w:r>
      <w:r>
        <w:rPr>
          <w:rFonts w:ascii="仿宋" w:eastAsia="仿宋" w:hAnsi="仿宋" w:cs="仿宋"/>
        </w:rPr>
        <w:t>拟订城乡全民义务植树的实施办法和措施，编制全民义务植树年度计划，组织开展、指导协调和监督检查全民义务植树、城乡绿化和封山育林工作。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13.</w:t>
      </w:r>
      <w:r>
        <w:rPr>
          <w:rFonts w:ascii="仿宋" w:eastAsia="仿宋" w:hAnsi="仿宋" w:cs="仿宋"/>
        </w:rPr>
        <w:t>负责测绘和地理信息管理工作。负责基础测绘和测绘行业管理；组织协调全市范围内基础测绘等重大测绘项目的实施。监督管理地理信息安全和市场秩序，负责地理信息公共服</w:t>
      </w:r>
      <w:r>
        <w:rPr>
          <w:rFonts w:ascii="仿宋" w:eastAsia="仿宋" w:hAnsi="仿宋" w:cs="仿宋"/>
        </w:rPr>
        <w:lastRenderedPageBreak/>
        <w:t>务管理。负责测量标志保护。开展自然资源信息化和信息资料公共服务工作。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14.</w:t>
      </w:r>
      <w:r>
        <w:rPr>
          <w:rFonts w:ascii="仿宋" w:eastAsia="仿宋" w:hAnsi="仿宋" w:cs="仿宋"/>
        </w:rPr>
        <w:t>负责城乡规划、土地、地质矿产资源、测绘等行业资质与信用管理。</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15.</w:t>
      </w:r>
      <w:r>
        <w:rPr>
          <w:rFonts w:ascii="仿宋" w:eastAsia="仿宋" w:hAnsi="仿宋" w:cs="仿宋"/>
        </w:rPr>
        <w:t>组织开展自然资源和规划的科研科技工作、对外交流与合作。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16.</w:t>
      </w:r>
      <w:r>
        <w:rPr>
          <w:rFonts w:ascii="仿宋" w:eastAsia="仿宋" w:hAnsi="仿宋" w:cs="仿宋"/>
        </w:rPr>
        <w:t>根据市委、市政</w:t>
      </w:r>
      <w:r>
        <w:rPr>
          <w:rFonts w:ascii="仿宋" w:eastAsia="仿宋" w:hAnsi="仿宋" w:cs="仿宋"/>
        </w:rPr>
        <w:t>府授权，监督检查市（县）区落实自然资源和国土空间规划的方针政策、决策部署及法律法规执行情况；查处自然资源开发利用和国土空间规划及测绘违法案件，负责违法建设规划影响程度的认定。</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17.</w:t>
      </w:r>
      <w:r>
        <w:rPr>
          <w:rFonts w:ascii="仿宋" w:eastAsia="仿宋" w:hAnsi="仿宋" w:cs="仿宋"/>
        </w:rPr>
        <w:t>按规定履行干部管理和队伍建设职责。</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18.</w:t>
      </w:r>
      <w:r>
        <w:rPr>
          <w:rFonts w:ascii="仿宋" w:eastAsia="仿宋" w:hAnsi="仿宋" w:cs="仿宋"/>
        </w:rPr>
        <w:t>按照职责分工做好相关行业、领域的安全生产监督管理工作。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19.</w:t>
      </w:r>
      <w:r>
        <w:rPr>
          <w:rFonts w:ascii="仿宋" w:eastAsia="仿宋" w:hAnsi="仿宋" w:cs="仿宋"/>
        </w:rPr>
        <w:t>完成市委、市政府交办的其他任务。</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20.</w:t>
      </w:r>
      <w:r>
        <w:rPr>
          <w:rFonts w:ascii="仿宋" w:eastAsia="仿宋" w:hAnsi="仿宋" w:cs="仿宋"/>
        </w:rPr>
        <w:t>职能转变。贯彻落实统一行使全民所有自然资源资产所有者职责，统一行使所有国土空间用途管制和生态保护修复职责的要求，严格执行管控制度，发挥国土空间规划管控作用。推进</w:t>
      </w:r>
      <w:r>
        <w:rPr>
          <w:rFonts w:ascii="仿宋" w:eastAsia="仿宋" w:hAnsi="仿宋" w:cs="仿宋"/>
        </w:rPr>
        <w:t>“</w:t>
      </w:r>
      <w:r>
        <w:rPr>
          <w:rFonts w:ascii="仿宋" w:eastAsia="仿宋" w:hAnsi="仿宋" w:cs="仿宋"/>
        </w:rPr>
        <w:t>多规合一</w:t>
      </w:r>
      <w:r>
        <w:rPr>
          <w:rFonts w:ascii="仿宋" w:eastAsia="仿宋" w:hAnsi="仿宋" w:cs="仿宋"/>
        </w:rPr>
        <w:t>”</w:t>
      </w:r>
      <w:r>
        <w:rPr>
          <w:rFonts w:ascii="仿宋" w:eastAsia="仿宋" w:hAnsi="仿宋" w:cs="仿宋"/>
        </w:rPr>
        <w:t>，为保护和合理</w:t>
      </w:r>
      <w:r>
        <w:rPr>
          <w:rFonts w:ascii="仿宋" w:eastAsia="仿宋" w:hAnsi="仿宋" w:cs="仿宋"/>
        </w:rPr>
        <w:t>开发利用自然资源提供科学指引。进一步加强自然资源的保护和合理开发利用，建立健全源头保护和全过程修复治理相结合的工作机制，实现整体保护、系统修复、综合治理。创新激励约束并举的制度措施，推进自然资源节约集约利用。进一步精简下放有关行政审批事项，强化监管力度，充分发挥市场对资源配置的决定性作用，</w:t>
      </w:r>
      <w:r>
        <w:rPr>
          <w:rFonts w:ascii="仿宋" w:eastAsia="仿宋" w:hAnsi="仿宋" w:cs="仿宋"/>
        </w:rPr>
        <w:lastRenderedPageBreak/>
        <w:t>更好发挥政府作用，强化自然资源管理规则、标准、制度的约束性作用，推进自然资源确权登记和评估的便民高效。</w:t>
      </w:r>
    </w:p>
    <w:p w:rsidR="006E5555" w:rsidRDefault="00744F51">
      <w:pPr>
        <w:pStyle w:val="a4"/>
        <w:spacing w:line="360" w:lineRule="auto"/>
        <w:ind w:leftChars="200" w:left="440" w:rightChars="229" w:right="504" w:firstLine="658"/>
        <w:jc w:val="both"/>
        <w:rPr>
          <w:rFonts w:ascii="仿宋" w:eastAsia="仿宋" w:hAnsi="仿宋" w:cs="仿宋"/>
          <w:b/>
          <w:bCs/>
        </w:rPr>
      </w:pPr>
      <w:r>
        <w:rPr>
          <w:rFonts w:ascii="仿宋" w:eastAsia="仿宋" w:hAnsi="仿宋" w:cs="仿宋" w:hint="eastAsia"/>
          <w:b/>
          <w:bCs/>
        </w:rPr>
        <w:t>二、</w:t>
      </w:r>
      <w:r>
        <w:rPr>
          <w:rFonts w:ascii="仿宋" w:eastAsia="仿宋" w:hAnsi="仿宋" w:cs="仿宋"/>
          <w:b/>
        </w:rPr>
        <w:t>单位</w:t>
      </w:r>
      <w:r>
        <w:rPr>
          <w:rFonts w:ascii="仿宋" w:eastAsia="仿宋" w:hAnsi="仿宋" w:cs="仿宋" w:hint="eastAsia"/>
          <w:b/>
          <w:bCs/>
        </w:rPr>
        <w:t>机构设置及预算单位构成情况</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hint="eastAsia"/>
        </w:rPr>
        <w:t>根据</w:t>
      </w:r>
      <w:r>
        <w:rPr>
          <w:rFonts w:ascii="仿宋" w:eastAsia="仿宋" w:hAnsi="仿宋" w:cs="仿宋" w:hint="eastAsia"/>
          <w:lang w:val="en-US"/>
        </w:rPr>
        <w:t>单位</w:t>
      </w:r>
      <w:r>
        <w:rPr>
          <w:rFonts w:ascii="仿宋" w:eastAsia="仿宋" w:hAnsi="仿宋" w:cs="仿宋" w:hint="eastAsia"/>
        </w:rPr>
        <w:t>职责分工，</w:t>
      </w:r>
      <w:r>
        <w:rPr>
          <w:rFonts w:ascii="仿宋" w:eastAsia="仿宋" w:hAnsi="仿宋" w:cs="仿宋"/>
        </w:rPr>
        <w:t>本单位内设机构包括：</w:t>
      </w:r>
      <w:r>
        <w:rPr>
          <w:rFonts w:ascii="仿宋" w:eastAsia="仿宋" w:hAnsi="仿宋" w:cs="仿宋"/>
        </w:rPr>
        <w:t>办公室、综合改革处、法规监察处、行政审批处、自然资源确权登记局、自然资源开发利用处、总体规划管理处、详细规划管理处、建筑规划管理处、市政交通规划管理处、国土空间用途管制处、耕地保护监督处、地质矿产资源管理处、风貌管理处、林业湿地管理处、风景名胜和绿化管理处、测绘和地理信息管理处、财务处、组织人事处、机关党委。本单位无下属单位。</w:t>
      </w:r>
    </w:p>
    <w:p w:rsidR="006E5555" w:rsidRDefault="00744F51">
      <w:pPr>
        <w:pStyle w:val="a4"/>
        <w:spacing w:line="360" w:lineRule="auto"/>
        <w:ind w:leftChars="200" w:left="440" w:rightChars="229" w:right="504" w:firstLine="658"/>
        <w:jc w:val="both"/>
        <w:rPr>
          <w:rFonts w:ascii="仿宋" w:eastAsia="仿宋" w:hAnsi="仿宋" w:cs="仿宋"/>
          <w:b/>
          <w:bCs/>
        </w:rPr>
      </w:pPr>
      <w:r>
        <w:rPr>
          <w:rFonts w:ascii="仿宋" w:eastAsia="仿宋" w:hAnsi="仿宋" w:cs="仿宋" w:hint="eastAsia"/>
          <w:b/>
          <w:bCs/>
        </w:rPr>
        <w:t>三、</w:t>
      </w:r>
      <w:r>
        <w:rPr>
          <w:rFonts w:ascii="仿宋" w:eastAsia="仿宋" w:hAnsi="仿宋" w:cs="仿宋" w:hint="eastAsia"/>
          <w:b/>
          <w:bCs/>
        </w:rPr>
        <w:t>2023</w:t>
      </w:r>
      <w:r>
        <w:rPr>
          <w:rFonts w:ascii="仿宋" w:eastAsia="仿宋" w:hAnsi="仿宋" w:cs="仿宋" w:hint="eastAsia"/>
          <w:b/>
          <w:bCs/>
        </w:rPr>
        <w:t>年度</w:t>
      </w:r>
      <w:r>
        <w:rPr>
          <w:rFonts w:ascii="仿宋" w:eastAsia="仿宋" w:hAnsi="仿宋" w:cs="仿宋"/>
          <w:b/>
        </w:rPr>
        <w:t>单位主要工作任务及目标</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我局将围绕党的二十大报告确立的奋斗目标，坚决贯彻落实市委市政府的决策部署，用奋斗创造新业绩，用实干开启新未来，全力推进自然资源事业发展：</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一是</w:t>
      </w:r>
      <w:r>
        <w:rPr>
          <w:rFonts w:ascii="仿宋" w:eastAsia="仿宋" w:hAnsi="仿宋" w:cs="仿宋"/>
        </w:rPr>
        <w:t>保发展，助力经济企稳回升。继续发挥重大项目用地保障审批专班作用，常态化梳理和跟踪重点项目规划、用地需求，科学制定保障方案，与市相关部门形成资源共享、项目共建的良性协调机制，高效保障全市重大项目平稳落地。落实</w:t>
      </w:r>
      <w:r>
        <w:rPr>
          <w:rFonts w:ascii="仿宋" w:eastAsia="仿宋" w:hAnsi="仿宋" w:cs="仿宋"/>
        </w:rPr>
        <w:t>“</w:t>
      </w:r>
      <w:r>
        <w:rPr>
          <w:rFonts w:ascii="仿宋" w:eastAsia="仿宋" w:hAnsi="仿宋" w:cs="仿宋"/>
        </w:rPr>
        <w:t>市控</w:t>
      </w:r>
      <w:r>
        <w:rPr>
          <w:rFonts w:ascii="仿宋" w:eastAsia="仿宋" w:hAnsi="仿宋" w:cs="仿宋"/>
        </w:rPr>
        <w:t>+</w:t>
      </w:r>
      <w:r>
        <w:rPr>
          <w:rFonts w:ascii="仿宋" w:eastAsia="仿宋" w:hAnsi="仿宋" w:cs="仿宋"/>
        </w:rPr>
        <w:t>区配</w:t>
      </w:r>
      <w:r>
        <w:rPr>
          <w:rFonts w:ascii="仿宋" w:eastAsia="仿宋" w:hAnsi="仿宋" w:cs="仿宋"/>
        </w:rPr>
        <w:t>”</w:t>
      </w:r>
      <w:r>
        <w:rPr>
          <w:rFonts w:ascii="仿宋" w:eastAsia="仿宋" w:hAnsi="仿宋" w:cs="仿宋"/>
        </w:rPr>
        <w:t>指标配置工作，组织开展符合条件的项目申报评价，切实增强自然资源要素配置的统筹协调能力。助力房地产市场企稳回升，持续推进地块</w:t>
      </w:r>
      <w:r>
        <w:rPr>
          <w:rFonts w:ascii="仿宋" w:eastAsia="仿宋" w:hAnsi="仿宋" w:cs="仿宋"/>
        </w:rPr>
        <w:t>“</w:t>
      </w:r>
      <w:r>
        <w:rPr>
          <w:rFonts w:ascii="仿宋" w:eastAsia="仿宋" w:hAnsi="仿宋" w:cs="仿宋"/>
        </w:rPr>
        <w:t>三清</w:t>
      </w:r>
      <w:r>
        <w:rPr>
          <w:rFonts w:ascii="仿宋" w:eastAsia="仿宋" w:hAnsi="仿宋" w:cs="仿宋"/>
        </w:rPr>
        <w:t>”</w:t>
      </w:r>
      <w:r>
        <w:rPr>
          <w:rFonts w:ascii="仿宋" w:eastAsia="仿宋" w:hAnsi="仿宋" w:cs="仿宋"/>
        </w:rPr>
        <w:t>，加强</w:t>
      </w:r>
      <w:r>
        <w:rPr>
          <w:rFonts w:ascii="仿宋" w:eastAsia="仿宋" w:hAnsi="仿宋" w:cs="仿宋"/>
        </w:rPr>
        <w:t>“</w:t>
      </w:r>
      <w:r>
        <w:rPr>
          <w:rFonts w:ascii="仿宋" w:eastAsia="仿宋" w:hAnsi="仿宋" w:cs="仿宋"/>
        </w:rPr>
        <w:t>净地</w:t>
      </w:r>
      <w:r>
        <w:rPr>
          <w:rFonts w:ascii="仿宋" w:eastAsia="仿宋" w:hAnsi="仿宋" w:cs="仿宋"/>
        </w:rPr>
        <w:t>”</w:t>
      </w:r>
      <w:r>
        <w:rPr>
          <w:rFonts w:ascii="仿宋" w:eastAsia="仿宋" w:hAnsi="仿宋" w:cs="仿宋"/>
        </w:rPr>
        <w:t>储备，充实土地出让</w:t>
      </w:r>
      <w:r>
        <w:rPr>
          <w:rFonts w:ascii="仿宋" w:eastAsia="仿宋" w:hAnsi="仿宋" w:cs="仿宋"/>
        </w:rPr>
        <w:t>“</w:t>
      </w:r>
      <w:r>
        <w:rPr>
          <w:rFonts w:ascii="仿宋" w:eastAsia="仿宋" w:hAnsi="仿宋" w:cs="仿宋"/>
        </w:rPr>
        <w:t>蓄水池</w:t>
      </w:r>
      <w:r>
        <w:rPr>
          <w:rFonts w:ascii="仿宋" w:eastAsia="仿宋" w:hAnsi="仿宋" w:cs="仿宋"/>
        </w:rPr>
        <w:t>”</w:t>
      </w:r>
      <w:r>
        <w:rPr>
          <w:rFonts w:ascii="仿宋" w:eastAsia="仿宋" w:hAnsi="仿宋" w:cs="仿宋"/>
        </w:rPr>
        <w:t>，组织编制</w:t>
      </w:r>
      <w:r>
        <w:rPr>
          <w:rFonts w:ascii="仿宋" w:eastAsia="仿宋" w:hAnsi="仿宋" w:cs="仿宋"/>
        </w:rPr>
        <w:t>2023</w:t>
      </w:r>
      <w:r>
        <w:rPr>
          <w:rFonts w:ascii="仿宋" w:eastAsia="仿宋" w:hAnsi="仿宋" w:cs="仿宋"/>
        </w:rPr>
        <w:t>年度经营性用地储备计划、出让计划和清地计划，初步形成地块清单，为应对明年</w:t>
      </w:r>
      <w:r>
        <w:rPr>
          <w:rFonts w:ascii="仿宋" w:eastAsia="仿宋" w:hAnsi="仿宋" w:cs="仿宋"/>
        </w:rPr>
        <w:lastRenderedPageBreak/>
        <w:t>房地产市场变化做好充足准备。</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二是护资源，绘就城市绿色画卷。强化落实最严格的耕地保护制度，根据上级下达新一轮耕地和永久基本农田保护任务，足额带位置分解落实，签订新一轮耕地保护责任书。严格执行</w:t>
      </w:r>
      <w:r>
        <w:rPr>
          <w:rFonts w:ascii="仿宋" w:eastAsia="仿宋" w:hAnsi="仿宋" w:cs="仿宋"/>
        </w:rPr>
        <w:t>“</w:t>
      </w:r>
      <w:r>
        <w:rPr>
          <w:rFonts w:ascii="仿宋" w:eastAsia="仿宋" w:hAnsi="仿宋" w:cs="仿宋"/>
        </w:rPr>
        <w:t>六个严禁</w:t>
      </w:r>
      <w:r>
        <w:rPr>
          <w:rFonts w:ascii="仿宋" w:eastAsia="仿宋" w:hAnsi="仿宋" w:cs="仿宋"/>
        </w:rPr>
        <w:t>”</w:t>
      </w:r>
      <w:r>
        <w:rPr>
          <w:rFonts w:ascii="仿宋" w:eastAsia="仿宋" w:hAnsi="仿宋" w:cs="仿宋"/>
        </w:rPr>
        <w:t>，组织各地编制耕地</w:t>
      </w:r>
      <w:r>
        <w:rPr>
          <w:rFonts w:ascii="仿宋" w:eastAsia="仿宋" w:hAnsi="仿宋" w:cs="仿宋"/>
        </w:rPr>
        <w:t>“</w:t>
      </w:r>
      <w:r>
        <w:rPr>
          <w:rFonts w:ascii="仿宋" w:eastAsia="仿宋" w:hAnsi="仿宋" w:cs="仿宋"/>
        </w:rPr>
        <w:t>进出平衡</w:t>
      </w:r>
      <w:r>
        <w:rPr>
          <w:rFonts w:ascii="仿宋" w:eastAsia="仿宋" w:hAnsi="仿宋" w:cs="仿宋"/>
        </w:rPr>
        <w:t>”</w:t>
      </w:r>
      <w:r>
        <w:rPr>
          <w:rFonts w:ascii="仿宋" w:eastAsia="仿宋" w:hAnsi="仿宋" w:cs="仿宋"/>
        </w:rPr>
        <w:t>方案，对</w:t>
      </w:r>
      <w:r>
        <w:rPr>
          <w:rFonts w:ascii="仿宋" w:eastAsia="仿宋" w:hAnsi="仿宋" w:cs="仿宋"/>
        </w:rPr>
        <w:t>“</w:t>
      </w:r>
      <w:r>
        <w:rPr>
          <w:rFonts w:ascii="仿宋" w:eastAsia="仿宋" w:hAnsi="仿宋" w:cs="仿宋"/>
        </w:rPr>
        <w:t>非粮化</w:t>
      </w:r>
      <w:r>
        <w:rPr>
          <w:rFonts w:ascii="仿宋" w:eastAsia="仿宋" w:hAnsi="仿宋" w:cs="仿宋"/>
        </w:rPr>
        <w:t>”</w:t>
      </w:r>
      <w:r>
        <w:rPr>
          <w:rFonts w:ascii="仿宋" w:eastAsia="仿宋" w:hAnsi="仿宋" w:cs="仿宋"/>
        </w:rPr>
        <w:t>耕地按计划稳妥有序恢复。尽早完成《无锡市国土空间生态保护和修复规划（</w:t>
      </w:r>
      <w:r>
        <w:rPr>
          <w:rFonts w:ascii="仿宋" w:eastAsia="仿宋" w:hAnsi="仿宋" w:cs="仿宋"/>
        </w:rPr>
        <w:t>2021-2035</w:t>
      </w:r>
      <w:r>
        <w:rPr>
          <w:rFonts w:ascii="仿宋" w:eastAsia="仿宋" w:hAnsi="仿宋" w:cs="仿宋"/>
        </w:rPr>
        <w:t>年）》审批发布，把握宜兴历史遗留废弃矿山生态修复示范项目契机，加快开展生态修复，着力打造绿色生态示范样本。大力开展植树造林和国土绿化，科学制定造林绿化目标任务，积极引导各地充分利用废弃地、边角地、插花地开展</w:t>
      </w:r>
      <w:r>
        <w:rPr>
          <w:rFonts w:ascii="仿宋" w:eastAsia="仿宋" w:hAnsi="仿宋" w:cs="仿宋"/>
        </w:rPr>
        <w:t>绿化造林工作，确保完成年度绿化造林目标任务。推进退化湿地修复，加大湿地管护力度，努力提升自然湿地保护率，助力城市生态文明发展。落实市安全生产三年专项整治工作要求，扎实做好森林防火、地质灾害防治等自然资源规划领域安全生产工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三是谋规划，引领城乡融合发展。推进市级国土空间总体规划的上报审批，指导各地加快编制市（县）、区国土空间总体规划，力争明年年底前完成市、县、镇三级国土空间总体规划的编制工作。加快推进无锡常州临界地区空间协同、地下空间利用专项、规划体系与用途管控研究专项规划的编制，继续开展控规动态更新，指</w:t>
      </w:r>
      <w:r>
        <w:rPr>
          <w:rFonts w:ascii="仿宋" w:eastAsia="仿宋" w:hAnsi="仿宋" w:cs="仿宋"/>
        </w:rPr>
        <w:t>导各区有序开展城市设计工作。发挥</w:t>
      </w:r>
      <w:r>
        <w:rPr>
          <w:rFonts w:ascii="仿宋" w:eastAsia="仿宋" w:hAnsi="仿宋" w:cs="仿宋"/>
        </w:rPr>
        <w:t>158</w:t>
      </w:r>
      <w:r>
        <w:rPr>
          <w:rFonts w:ascii="仿宋" w:eastAsia="仿宋" w:hAnsi="仿宋" w:cs="仿宋"/>
        </w:rPr>
        <w:t>个美丽农居示范点村庄规划的先行示范作用，指导有建设需求的村庄有序开展居民点规划及报批工作。深入推进大通道大枢</w:t>
      </w:r>
      <w:r>
        <w:rPr>
          <w:rFonts w:ascii="仿宋" w:eastAsia="仿宋" w:hAnsi="仿宋" w:cs="仿宋"/>
        </w:rPr>
        <w:lastRenderedPageBreak/>
        <w:t>纽规划，主动对接苏州开展</w:t>
      </w:r>
      <w:r>
        <w:rPr>
          <w:rFonts w:ascii="仿宋" w:eastAsia="仿宋" w:hAnsi="仿宋" w:cs="仿宋"/>
        </w:rPr>
        <w:t>“</w:t>
      </w:r>
      <w:r>
        <w:rPr>
          <w:rFonts w:ascii="仿宋" w:eastAsia="仿宋" w:hAnsi="仿宋" w:cs="仿宋"/>
        </w:rPr>
        <w:t>东向大通道</w:t>
      </w:r>
      <w:r>
        <w:rPr>
          <w:rFonts w:ascii="仿宋" w:eastAsia="仿宋" w:hAnsi="仿宋" w:cs="仿宋"/>
        </w:rPr>
        <w:t>”</w:t>
      </w:r>
      <w:r>
        <w:rPr>
          <w:rFonts w:ascii="仿宋" w:eastAsia="仿宋" w:hAnsi="仿宋" w:cs="仿宋"/>
        </w:rPr>
        <w:t>的规划研究，做优做实规划方案。积极推进《无锡市历史文化名城保护规划》等成果的部级论证，力争早日获批。全面开展《无锡市清名桥沿河历史文化街区保护与整治规划》和《无锡市惠山古镇历史文化街区保护与整治规划》编制工作，力争明年形成论证成果。</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四是优服务，提升群众幸福指数。深化推进智能化不动产登记服务，探索不动产登记</w:t>
      </w:r>
      <w:r>
        <w:rPr>
          <w:rFonts w:ascii="仿宋" w:eastAsia="仿宋" w:hAnsi="仿宋" w:cs="仿宋"/>
        </w:rPr>
        <w:t>“</w:t>
      </w:r>
      <w:r>
        <w:rPr>
          <w:rFonts w:ascii="仿宋" w:eastAsia="仿宋" w:hAnsi="仿宋" w:cs="仿宋"/>
        </w:rPr>
        <w:t>智慧审批</w:t>
      </w:r>
      <w:r>
        <w:rPr>
          <w:rFonts w:ascii="仿宋" w:eastAsia="仿宋" w:hAnsi="仿宋" w:cs="仿宋"/>
        </w:rPr>
        <w:t>”</w:t>
      </w:r>
      <w:r>
        <w:rPr>
          <w:rFonts w:ascii="仿宋" w:eastAsia="仿宋" w:hAnsi="仿宋" w:cs="仿宋"/>
        </w:rPr>
        <w:t>等新技术</w:t>
      </w:r>
      <w:r>
        <w:rPr>
          <w:rFonts w:ascii="仿宋" w:eastAsia="仿宋" w:hAnsi="仿宋" w:cs="仿宋"/>
        </w:rPr>
        <w:t>应用，继续优化平台建设，在实现</w:t>
      </w:r>
      <w:r>
        <w:rPr>
          <w:rFonts w:ascii="仿宋" w:eastAsia="仿宋" w:hAnsi="仿宋" w:cs="仿宋"/>
        </w:rPr>
        <w:t>“</w:t>
      </w:r>
      <w:r>
        <w:rPr>
          <w:rFonts w:ascii="仿宋" w:eastAsia="仿宋" w:hAnsi="仿宋" w:cs="仿宋"/>
        </w:rPr>
        <w:t>网上办、不见面</w:t>
      </w:r>
      <w:r>
        <w:rPr>
          <w:rFonts w:ascii="仿宋" w:eastAsia="仿宋" w:hAnsi="仿宋" w:cs="仿宋"/>
        </w:rPr>
        <w:t>”</w:t>
      </w:r>
      <w:r>
        <w:rPr>
          <w:rFonts w:ascii="仿宋" w:eastAsia="仿宋" w:hAnsi="仿宋" w:cs="仿宋"/>
        </w:rPr>
        <w:t>的基础上，推动更多业务上线。进一步拓宽电子证照应用场景，深化</w:t>
      </w:r>
      <w:r>
        <w:rPr>
          <w:rFonts w:ascii="仿宋" w:eastAsia="仿宋" w:hAnsi="仿宋" w:cs="仿宋"/>
        </w:rPr>
        <w:t>“</w:t>
      </w:r>
      <w:r>
        <w:rPr>
          <w:rFonts w:ascii="仿宋" w:eastAsia="仿宋" w:hAnsi="仿宋" w:cs="仿宋"/>
        </w:rPr>
        <w:t>亮证</w:t>
      </w:r>
      <w:r>
        <w:rPr>
          <w:rFonts w:ascii="仿宋" w:eastAsia="仿宋" w:hAnsi="仿宋" w:cs="仿宋"/>
        </w:rPr>
        <w:t>”</w:t>
      </w:r>
      <w:r>
        <w:rPr>
          <w:rFonts w:ascii="仿宋" w:eastAsia="仿宋" w:hAnsi="仿宋" w:cs="仿宋"/>
        </w:rPr>
        <w:t>功能，提升电子证照应用价值，推进电子证照在政务服务事项中的应用，切实便民利企，助力营商环境持续优化向好。落实不动产登记历史遗留问题处理长效机制，依法依规解决一批</w:t>
      </w:r>
      <w:r>
        <w:rPr>
          <w:rFonts w:ascii="仿宋" w:eastAsia="仿宋" w:hAnsi="仿宋" w:cs="仿宋"/>
        </w:rPr>
        <w:t>“</w:t>
      </w:r>
      <w:r>
        <w:rPr>
          <w:rFonts w:ascii="仿宋" w:eastAsia="仿宋" w:hAnsi="仿宋" w:cs="仿宋"/>
        </w:rPr>
        <w:t>老大难</w:t>
      </w:r>
      <w:r>
        <w:rPr>
          <w:rFonts w:ascii="仿宋" w:eastAsia="仿宋" w:hAnsi="仿宋" w:cs="仿宋"/>
        </w:rPr>
        <w:t>”</w:t>
      </w:r>
      <w:r>
        <w:rPr>
          <w:rFonts w:ascii="仿宋" w:eastAsia="仿宋" w:hAnsi="仿宋" w:cs="仿宋"/>
        </w:rPr>
        <w:t>历史遗留问题。加强出让地块城市设计编制及审查，打造高品质住区，在建筑高度分区、配套商业等布局、建筑色彩、建筑材质、停车配建等方面进一步细化精准要求，提升人民群众幸福指数、满意指数。</w:t>
      </w:r>
    </w:p>
    <w:p w:rsidR="006E5555" w:rsidRDefault="00744F51">
      <w:pPr>
        <w:pStyle w:val="a4"/>
        <w:spacing w:line="360" w:lineRule="auto"/>
        <w:ind w:leftChars="200" w:left="440" w:rightChars="229" w:right="504" w:firstLine="658"/>
        <w:jc w:val="both"/>
        <w:rPr>
          <w:rFonts w:ascii="仿宋" w:eastAsia="仿宋" w:hAnsi="仿宋" w:cs="仿宋"/>
          <w:lang w:val="en-US"/>
        </w:rPr>
      </w:pPr>
      <w:r>
        <w:rPr>
          <w:rFonts w:ascii="仿宋" w:eastAsia="仿宋" w:hAnsi="仿宋" w:cs="仿宋"/>
        </w:rPr>
        <w:t>五是强改革，优化资源要素配置。抓紧完善自然资</w:t>
      </w:r>
      <w:r>
        <w:rPr>
          <w:rFonts w:ascii="仿宋" w:eastAsia="仿宋" w:hAnsi="仿宋" w:cs="仿宋"/>
        </w:rPr>
        <w:t>源要素配置改革部级试点方案，尽最大可能将无锡政策需求</w:t>
      </w:r>
      <w:r>
        <w:rPr>
          <w:rFonts w:ascii="仿宋" w:eastAsia="仿宋" w:hAnsi="仿宋" w:cs="仿宋"/>
        </w:rPr>
        <w:t>“</w:t>
      </w:r>
      <w:r>
        <w:rPr>
          <w:rFonts w:ascii="仿宋" w:eastAsia="仿宋" w:hAnsi="仿宋" w:cs="仿宋"/>
        </w:rPr>
        <w:t>应纳尽纳</w:t>
      </w:r>
      <w:r>
        <w:rPr>
          <w:rFonts w:ascii="仿宋" w:eastAsia="仿宋" w:hAnsi="仿宋" w:cs="仿宋"/>
        </w:rPr>
        <w:t>”</w:t>
      </w:r>
      <w:r>
        <w:rPr>
          <w:rFonts w:ascii="仿宋" w:eastAsia="仿宋" w:hAnsi="仿宋" w:cs="仿宋"/>
        </w:rPr>
        <w:t>，全力争取试点尽快落地。充分用好</w:t>
      </w:r>
      <w:r>
        <w:rPr>
          <w:rFonts w:ascii="仿宋" w:eastAsia="仿宋" w:hAnsi="仿宋" w:cs="仿宋"/>
        </w:rPr>
        <w:t>“</w:t>
      </w:r>
      <w:r>
        <w:rPr>
          <w:rFonts w:ascii="仿宋" w:eastAsia="仿宋" w:hAnsi="仿宋" w:cs="仿宋"/>
        </w:rPr>
        <w:t>厅＋市战略合作</w:t>
      </w:r>
      <w:r>
        <w:rPr>
          <w:rFonts w:ascii="仿宋" w:eastAsia="仿宋" w:hAnsi="仿宋" w:cs="仿宋"/>
        </w:rPr>
        <w:t>”</w:t>
      </w:r>
      <w:r>
        <w:rPr>
          <w:rFonts w:ascii="仿宋" w:eastAsia="仿宋" w:hAnsi="仿宋" w:cs="仿宋"/>
        </w:rPr>
        <w:t>会商机制，细化赋能政策落地路径，加大政策业务指导培训，确保好政策能落实到</w:t>
      </w:r>
      <w:r>
        <w:rPr>
          <w:rFonts w:ascii="仿宋" w:eastAsia="仿宋" w:hAnsi="仿宋" w:cs="仿宋"/>
        </w:rPr>
        <w:t>“</w:t>
      </w:r>
      <w:r>
        <w:rPr>
          <w:rFonts w:ascii="仿宋" w:eastAsia="仿宋" w:hAnsi="仿宋" w:cs="仿宋"/>
        </w:rPr>
        <w:t>最后一公里</w:t>
      </w:r>
      <w:r>
        <w:rPr>
          <w:rFonts w:ascii="仿宋" w:eastAsia="仿宋" w:hAnsi="仿宋" w:cs="仿宋"/>
        </w:rPr>
        <w:t>”</w:t>
      </w:r>
      <w:r>
        <w:rPr>
          <w:rFonts w:ascii="仿宋" w:eastAsia="仿宋" w:hAnsi="仿宋" w:cs="仿宋"/>
        </w:rPr>
        <w:t>。全力推动改革试点、政策落地生根，推动开展生态产品价值实现机制试点各项任务，形成可推广、可复制、有地域特色生态产品价值实现机制无锡</w:t>
      </w:r>
      <w:r>
        <w:rPr>
          <w:rFonts w:ascii="仿宋" w:eastAsia="仿宋" w:hAnsi="仿宋" w:cs="仿宋"/>
        </w:rPr>
        <w:lastRenderedPageBreak/>
        <w:t>样板。深入推进集土入市试点，争取扩大集土入市试点范围，为全面入市做好准备。积极推进惠山洛社万马等村全域综合整治国家试点，调整优化永久基本农田布局，探索建立开发边界外建设复垦出的集中连</w:t>
      </w:r>
      <w:r>
        <w:rPr>
          <w:rFonts w:ascii="仿宋" w:eastAsia="仿宋" w:hAnsi="仿宋" w:cs="仿宋"/>
        </w:rPr>
        <w:t>片长期稳定耕地与边界内零星耕地置换机制，努力让资源要素流动更充分高效。落实产业用地全域更新行动方案，组织各地编制盘活改造计划，综合运用支持政策，推动全域更新行动落地生效。深化产业用地市场化配置改革，放大新型产业用地政策效应，引导有限资源向发展质量好、产出效益高的优质项目倾斜。</w:t>
      </w:r>
    </w:p>
    <w:p w:rsidR="006E5555" w:rsidRDefault="006E5555">
      <w:pPr>
        <w:pStyle w:val="a4"/>
        <w:spacing w:line="235" w:lineRule="auto"/>
        <w:ind w:leftChars="300" w:left="669" w:right="2414" w:hanging="9"/>
        <w:jc w:val="both"/>
        <w:rPr>
          <w:rFonts w:ascii="仿宋" w:eastAsia="仿宋" w:hAnsi="仿宋" w:cs="仿宋"/>
        </w:rPr>
        <w:sectPr w:rsidR="006E5555">
          <w:footerReference w:type="default" r:id="rId11"/>
          <w:pgSz w:w="11906" w:h="16838"/>
          <w:pgMar w:top="1580" w:right="1020" w:bottom="770" w:left="1020" w:header="170" w:footer="280" w:gutter="0"/>
          <w:pgNumType w:fmt="numberInDash"/>
          <w:cols w:space="720"/>
          <w:formProt w:val="0"/>
          <w:docGrid w:linePitch="100"/>
        </w:sectPr>
      </w:pPr>
    </w:p>
    <w:p w:rsidR="006E5555" w:rsidRDefault="006E5555">
      <w:pPr>
        <w:pStyle w:val="a4"/>
        <w:spacing w:line="360" w:lineRule="auto"/>
        <w:ind w:leftChars="200" w:left="440" w:rightChars="229" w:right="504" w:firstLine="658"/>
        <w:jc w:val="both"/>
        <w:rPr>
          <w:rFonts w:ascii="仿宋" w:eastAsia="仿宋" w:hAnsi="仿宋" w:cs="仿宋"/>
          <w:lang w:val="en-US"/>
        </w:rPr>
      </w:pPr>
    </w:p>
    <w:p w:rsidR="006E5555" w:rsidRDefault="006E5555">
      <w:pPr>
        <w:pStyle w:val="10"/>
        <w:tabs>
          <w:tab w:val="left" w:pos="1609"/>
        </w:tabs>
        <w:spacing w:before="12" w:line="300" w:lineRule="auto"/>
        <w:ind w:left="340" w:right="567" w:firstLine="0"/>
        <w:jc w:val="center"/>
        <w:rPr>
          <w:rFonts w:ascii="仿宋" w:eastAsia="仿宋" w:hAnsi="仿宋" w:cs="仿宋"/>
          <w:b/>
          <w:bCs/>
          <w:sz w:val="44"/>
          <w:szCs w:val="44"/>
        </w:rPr>
      </w:pPr>
    </w:p>
    <w:p w:rsidR="006E5555" w:rsidRDefault="006E5555">
      <w:pPr>
        <w:pStyle w:val="10"/>
        <w:tabs>
          <w:tab w:val="left" w:pos="1609"/>
        </w:tabs>
        <w:spacing w:before="12" w:line="300" w:lineRule="auto"/>
        <w:ind w:left="340" w:right="567" w:firstLine="0"/>
        <w:jc w:val="center"/>
        <w:rPr>
          <w:rFonts w:ascii="仿宋" w:eastAsia="仿宋" w:hAnsi="仿宋" w:cs="仿宋"/>
          <w:b/>
          <w:bCs/>
          <w:sz w:val="44"/>
          <w:szCs w:val="44"/>
        </w:rPr>
      </w:pPr>
    </w:p>
    <w:p w:rsidR="006E5555" w:rsidRDefault="006E5555">
      <w:pPr>
        <w:pStyle w:val="10"/>
        <w:tabs>
          <w:tab w:val="left" w:pos="1609"/>
        </w:tabs>
        <w:spacing w:before="12" w:line="300" w:lineRule="auto"/>
        <w:ind w:left="340" w:right="567" w:firstLine="0"/>
        <w:jc w:val="center"/>
        <w:rPr>
          <w:rFonts w:ascii="仿宋" w:eastAsia="仿宋" w:hAnsi="仿宋" w:cs="仿宋"/>
          <w:b/>
          <w:bCs/>
          <w:sz w:val="44"/>
          <w:szCs w:val="44"/>
        </w:rPr>
      </w:pPr>
    </w:p>
    <w:p w:rsidR="006E5555" w:rsidRDefault="006E5555">
      <w:pPr>
        <w:pStyle w:val="10"/>
        <w:tabs>
          <w:tab w:val="left" w:pos="1609"/>
        </w:tabs>
        <w:spacing w:before="12" w:line="300" w:lineRule="auto"/>
        <w:ind w:left="340" w:right="567" w:firstLine="0"/>
        <w:jc w:val="center"/>
        <w:rPr>
          <w:rFonts w:ascii="仿宋" w:eastAsia="仿宋" w:hAnsi="仿宋" w:cs="仿宋"/>
          <w:b/>
          <w:bCs/>
          <w:sz w:val="44"/>
          <w:szCs w:val="44"/>
        </w:rPr>
      </w:pPr>
    </w:p>
    <w:p w:rsidR="006E5555" w:rsidRDefault="006E5555">
      <w:pPr>
        <w:pStyle w:val="10"/>
        <w:tabs>
          <w:tab w:val="left" w:pos="1609"/>
        </w:tabs>
        <w:spacing w:before="12" w:line="300" w:lineRule="auto"/>
        <w:ind w:left="340" w:right="567" w:firstLine="0"/>
        <w:jc w:val="center"/>
        <w:rPr>
          <w:rFonts w:ascii="仿宋" w:eastAsia="仿宋" w:hAnsi="仿宋" w:cs="仿宋"/>
          <w:b/>
          <w:bCs/>
          <w:sz w:val="44"/>
          <w:szCs w:val="44"/>
        </w:rPr>
      </w:pPr>
    </w:p>
    <w:p w:rsidR="006E5555" w:rsidRDefault="006E5555">
      <w:pPr>
        <w:pStyle w:val="10"/>
        <w:tabs>
          <w:tab w:val="left" w:pos="1609"/>
        </w:tabs>
        <w:spacing w:before="12" w:line="300" w:lineRule="auto"/>
        <w:ind w:left="340" w:right="567" w:firstLine="0"/>
        <w:jc w:val="center"/>
        <w:rPr>
          <w:rFonts w:ascii="仿宋" w:eastAsia="仿宋" w:hAnsi="仿宋" w:cs="仿宋"/>
          <w:b/>
          <w:bCs/>
          <w:sz w:val="44"/>
          <w:szCs w:val="44"/>
        </w:rPr>
      </w:pPr>
    </w:p>
    <w:p w:rsidR="006E5555" w:rsidRDefault="00744F51">
      <w:pPr>
        <w:pStyle w:val="10"/>
        <w:tabs>
          <w:tab w:val="left" w:pos="1609"/>
        </w:tabs>
        <w:spacing w:before="12" w:line="300" w:lineRule="auto"/>
        <w:ind w:left="340" w:right="567" w:firstLine="0"/>
        <w:jc w:val="center"/>
        <w:rPr>
          <w:rFonts w:ascii="仿宋" w:eastAsia="仿宋" w:hAnsi="仿宋" w:cs="仿宋"/>
          <w:b/>
          <w:bCs/>
          <w:sz w:val="44"/>
          <w:szCs w:val="44"/>
        </w:rPr>
      </w:pPr>
      <w:r>
        <w:rPr>
          <w:rFonts w:ascii="仿宋" w:eastAsia="仿宋" w:hAnsi="仿宋" w:cs="仿宋" w:hint="eastAsia"/>
          <w:b/>
          <w:bCs/>
          <w:sz w:val="44"/>
          <w:szCs w:val="44"/>
        </w:rPr>
        <w:t>第二部分</w:t>
      </w:r>
    </w:p>
    <w:p w:rsidR="006E5555" w:rsidRDefault="00744F51">
      <w:pPr>
        <w:pStyle w:val="10"/>
        <w:tabs>
          <w:tab w:val="left" w:pos="1609"/>
        </w:tabs>
        <w:spacing w:before="12" w:line="300" w:lineRule="auto"/>
        <w:ind w:left="340" w:right="567" w:firstLine="0"/>
        <w:jc w:val="center"/>
        <w:rPr>
          <w:rFonts w:ascii="仿宋" w:eastAsia="仿宋" w:hAnsi="仿宋" w:cs="仿宋"/>
          <w:b/>
          <w:bCs/>
          <w:sz w:val="44"/>
          <w:szCs w:val="44"/>
        </w:rPr>
      </w:pPr>
      <w:r>
        <w:rPr>
          <w:rFonts w:ascii="仿宋" w:eastAsia="仿宋" w:hAnsi="仿宋" w:cs="仿宋" w:hint="eastAsia"/>
          <w:b/>
          <w:bCs/>
          <w:sz w:val="44"/>
          <w:szCs w:val="44"/>
        </w:rPr>
        <w:t>2023</w:t>
      </w:r>
      <w:r>
        <w:rPr>
          <w:rFonts w:ascii="仿宋" w:eastAsia="仿宋" w:hAnsi="仿宋" w:cs="仿宋" w:hint="eastAsia"/>
          <w:b/>
          <w:bCs/>
          <w:sz w:val="44"/>
          <w:szCs w:val="44"/>
        </w:rPr>
        <w:t>年度</w:t>
      </w:r>
    </w:p>
    <w:p w:rsidR="006E5555" w:rsidRDefault="00744F51">
      <w:pPr>
        <w:pStyle w:val="10"/>
        <w:tabs>
          <w:tab w:val="left" w:pos="1609"/>
        </w:tabs>
        <w:spacing w:before="12" w:line="300" w:lineRule="auto"/>
        <w:ind w:left="340" w:right="567" w:firstLine="0"/>
        <w:jc w:val="center"/>
        <w:rPr>
          <w:rFonts w:ascii="仿宋" w:eastAsia="仿宋" w:hAnsi="仿宋" w:cs="仿宋"/>
          <w:b/>
          <w:bCs/>
          <w:sz w:val="44"/>
          <w:szCs w:val="44"/>
        </w:rPr>
      </w:pPr>
      <w:r>
        <w:rPr>
          <w:rFonts w:ascii="仿宋" w:eastAsia="仿宋" w:hAnsi="仿宋" w:cs="仿宋" w:hint="eastAsia"/>
          <w:b/>
          <w:bCs/>
          <w:sz w:val="44"/>
          <w:szCs w:val="44"/>
        </w:rPr>
        <w:t>无锡市自然资源和规划局（本级）</w:t>
      </w:r>
    </w:p>
    <w:p w:rsidR="006E5555" w:rsidRDefault="00744F51">
      <w:pPr>
        <w:pStyle w:val="10"/>
        <w:tabs>
          <w:tab w:val="left" w:pos="1609"/>
        </w:tabs>
        <w:spacing w:before="12" w:line="300" w:lineRule="auto"/>
        <w:ind w:left="340" w:right="567" w:firstLine="0"/>
        <w:jc w:val="center"/>
        <w:rPr>
          <w:rFonts w:ascii="宋体" w:eastAsia="宋体" w:hAnsi="宋体" w:cs="仿宋"/>
          <w:b/>
          <w:bCs/>
          <w:sz w:val="44"/>
          <w:szCs w:val="44"/>
        </w:rPr>
      </w:pPr>
      <w:r>
        <w:rPr>
          <w:rFonts w:ascii="仿宋" w:eastAsia="仿宋" w:hAnsi="仿宋" w:cs="仿宋" w:hint="eastAsia"/>
          <w:b/>
          <w:bCs/>
          <w:sz w:val="44"/>
          <w:szCs w:val="44"/>
          <w:lang w:val="en-US"/>
        </w:rPr>
        <w:t>单位</w:t>
      </w:r>
      <w:r>
        <w:rPr>
          <w:rFonts w:ascii="仿宋" w:eastAsia="仿宋" w:hAnsi="仿宋" w:cs="仿宋"/>
          <w:b/>
          <w:sz w:val="44"/>
        </w:rPr>
        <w:t>预算表</w:t>
      </w:r>
    </w:p>
    <w:tbl>
      <w:tblPr>
        <w:tblW w:w="11329" w:type="dxa"/>
        <w:jc w:val="center"/>
        <w:tblLayout w:type="fixed"/>
        <w:tblLook w:val="04A0" w:firstRow="1" w:lastRow="0" w:firstColumn="1" w:lastColumn="0" w:noHBand="0" w:noVBand="1"/>
      </w:tblPr>
      <w:tblGrid>
        <w:gridCol w:w="3908"/>
        <w:gridCol w:w="1869"/>
        <w:gridCol w:w="3704"/>
        <w:gridCol w:w="67"/>
        <w:gridCol w:w="1781"/>
      </w:tblGrid>
      <w:tr w:rsidR="006E5555">
        <w:trPr>
          <w:cantSplit/>
          <w:trHeight w:val="116"/>
          <w:jc w:val="center"/>
        </w:trPr>
        <w:tc>
          <w:tcPr>
            <w:tcW w:w="11329" w:type="dxa"/>
            <w:gridSpan w:val="5"/>
            <w:vAlign w:val="center"/>
          </w:tcPr>
          <w:p w:rsidR="006E5555" w:rsidRDefault="00744F51">
            <w:pPr>
              <w:pageBreakBefore/>
              <w:jc w:val="both"/>
              <w:rPr>
                <w:rFonts w:ascii="仿宋" w:eastAsia="仿宋" w:hAnsi="仿宋" w:cs="仿宋"/>
                <w:color w:val="000000"/>
                <w:lang w:eastAsia="ar-SA"/>
              </w:rPr>
            </w:pPr>
            <w:r>
              <w:rPr>
                <w:rFonts w:ascii="仿宋" w:eastAsia="仿宋" w:hAnsi="仿宋" w:cs="仿宋" w:hint="eastAsia"/>
                <w:color w:val="000000"/>
                <w:lang w:eastAsia="ar-SA"/>
              </w:rPr>
              <w:lastRenderedPageBreak/>
              <w:t>公开</w:t>
            </w:r>
            <w:r>
              <w:rPr>
                <w:rFonts w:ascii="仿宋" w:eastAsia="仿宋" w:hAnsi="仿宋" w:cs="仿宋" w:hint="eastAsia"/>
                <w:color w:val="000000"/>
                <w:lang w:eastAsia="ar-SA"/>
              </w:rPr>
              <w:t>01</w:t>
            </w:r>
            <w:r>
              <w:rPr>
                <w:rFonts w:ascii="仿宋" w:eastAsia="仿宋" w:hAnsi="仿宋" w:cs="仿宋" w:hint="eastAsia"/>
                <w:color w:val="000000"/>
                <w:lang w:eastAsia="ar-SA"/>
              </w:rPr>
              <w:t>表</w:t>
            </w:r>
          </w:p>
        </w:tc>
      </w:tr>
      <w:tr w:rsidR="006E5555">
        <w:trPr>
          <w:cantSplit/>
          <w:trHeight w:val="348"/>
          <w:jc w:val="center"/>
        </w:trPr>
        <w:tc>
          <w:tcPr>
            <w:tcW w:w="11329" w:type="dxa"/>
            <w:gridSpan w:val="5"/>
          </w:tcPr>
          <w:p w:rsidR="006E5555" w:rsidRDefault="00744F51">
            <w:pPr>
              <w:jc w:val="center"/>
              <w:rPr>
                <w:rFonts w:ascii="仿宋" w:eastAsia="仿宋" w:hAnsi="仿宋" w:cs="仿宋"/>
                <w:color w:val="000000"/>
              </w:rPr>
            </w:pPr>
            <w:r>
              <w:rPr>
                <w:rFonts w:ascii="仿宋" w:eastAsia="仿宋" w:hAnsi="仿宋" w:cs="仿宋" w:hint="eastAsia"/>
                <w:b/>
                <w:bCs/>
                <w:color w:val="000000"/>
                <w:sz w:val="44"/>
                <w:szCs w:val="44"/>
                <w:lang w:eastAsia="ar-SA"/>
              </w:rPr>
              <w:t>收支总表</w:t>
            </w:r>
          </w:p>
        </w:tc>
      </w:tr>
      <w:tr w:rsidR="006E5555">
        <w:trPr>
          <w:cantSplit/>
          <w:trHeight w:val="333"/>
          <w:jc w:val="center"/>
        </w:trPr>
        <w:tc>
          <w:tcPr>
            <w:tcW w:w="9481" w:type="dxa"/>
            <w:gridSpan w:val="3"/>
            <w:tcBorders>
              <w:bottom w:val="single" w:sz="4" w:space="0" w:color="000000"/>
            </w:tcBorders>
            <w:vAlign w:val="center"/>
          </w:tcPr>
          <w:p w:rsidR="006E5555" w:rsidRDefault="00744F51">
            <w:pPr>
              <w:rPr>
                <w:rFonts w:ascii="仿宋" w:eastAsia="仿宋" w:hAnsi="仿宋" w:cs="仿宋"/>
                <w:color w:val="000000"/>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color w:val="000000"/>
                <w:lang w:eastAsia="ar-SA"/>
              </w:rPr>
              <w:t>无锡市自然资源和规划局（本级）</w:t>
            </w:r>
          </w:p>
        </w:tc>
        <w:tc>
          <w:tcPr>
            <w:tcW w:w="1848" w:type="dxa"/>
            <w:gridSpan w:val="2"/>
            <w:tcBorders>
              <w:bottom w:val="single" w:sz="4" w:space="0" w:color="000000"/>
            </w:tcBorders>
            <w:vAlign w:val="center"/>
          </w:tcPr>
          <w:p w:rsidR="006E5555" w:rsidRDefault="00744F51">
            <w:pPr>
              <w:jc w:val="right"/>
              <w:rPr>
                <w:rFonts w:ascii="仿宋" w:eastAsia="仿宋" w:hAnsi="仿宋" w:cs="仿宋"/>
                <w:color w:val="000000"/>
              </w:rPr>
            </w:pPr>
            <w:r>
              <w:rPr>
                <w:rFonts w:ascii="仿宋" w:eastAsia="仿宋" w:hAnsi="仿宋" w:cs="仿宋" w:hint="eastAsia"/>
                <w:color w:val="000000"/>
              </w:rPr>
              <w:t>单位</w:t>
            </w:r>
            <w:r>
              <w:rPr>
                <w:rFonts w:ascii="仿宋" w:eastAsia="仿宋" w:hAnsi="仿宋" w:cs="仿宋" w:hint="eastAsia"/>
                <w:color w:val="000000"/>
              </w:rPr>
              <w:t>：万元</w:t>
            </w:r>
          </w:p>
        </w:tc>
      </w:tr>
      <w:tr w:rsidR="006E5555">
        <w:trPr>
          <w:cantSplit/>
          <w:trHeight w:val="204"/>
          <w:jc w:val="center"/>
        </w:trPr>
        <w:tc>
          <w:tcPr>
            <w:tcW w:w="5777"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color w:val="000000"/>
              </w:rPr>
            </w:pPr>
            <w:r>
              <w:rPr>
                <w:rFonts w:ascii="仿宋" w:eastAsia="仿宋" w:hAnsi="仿宋" w:cs="仿宋" w:hint="eastAsia"/>
                <w:b/>
                <w:bCs/>
                <w:color w:val="000000"/>
                <w:lang w:eastAsia="ar-SA"/>
              </w:rPr>
              <w:t>收入</w:t>
            </w:r>
          </w:p>
        </w:tc>
        <w:tc>
          <w:tcPr>
            <w:tcW w:w="5552" w:type="dxa"/>
            <w:gridSpan w:val="3"/>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color w:val="000000"/>
              </w:rPr>
            </w:pPr>
            <w:r>
              <w:rPr>
                <w:rFonts w:ascii="仿宋" w:eastAsia="仿宋" w:hAnsi="仿宋" w:cs="仿宋" w:hint="eastAsia"/>
                <w:b/>
                <w:bCs/>
                <w:color w:val="000000"/>
                <w:lang w:eastAsia="ar-SA"/>
              </w:rPr>
              <w:t>支出</w:t>
            </w:r>
          </w:p>
        </w:tc>
      </w:tr>
      <w:tr w:rsidR="006E5555">
        <w:trPr>
          <w:cantSplit/>
          <w:trHeight w:val="319"/>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color w:val="000000"/>
              </w:rPr>
            </w:pPr>
            <w:r>
              <w:rPr>
                <w:rFonts w:ascii="仿宋" w:eastAsia="仿宋" w:hAnsi="仿宋" w:cs="仿宋" w:hint="eastAsia"/>
                <w:b/>
                <w:bCs/>
                <w:color w:val="000000"/>
                <w:lang w:eastAsia="ar-SA"/>
              </w:rPr>
              <w:t>项目</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b/>
                <w:bCs/>
                <w:color w:val="000000"/>
              </w:rPr>
            </w:pPr>
            <w:r>
              <w:rPr>
                <w:rFonts w:ascii="仿宋" w:eastAsia="仿宋" w:hAnsi="仿宋" w:cs="仿宋" w:hint="eastAsia"/>
                <w:b/>
                <w:bCs/>
                <w:color w:val="000000"/>
              </w:rPr>
              <w:t>预算</w:t>
            </w:r>
            <w:r>
              <w:rPr>
                <w:rFonts w:ascii="仿宋" w:eastAsia="仿宋" w:hAnsi="仿宋" w:cs="仿宋" w:hint="eastAsia"/>
                <w:b/>
                <w:bCs/>
                <w:color w:val="000000"/>
                <w:lang w:eastAsia="ar-SA"/>
              </w:rPr>
              <w:t>数</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b/>
                <w:bCs/>
                <w:color w:val="000000"/>
              </w:rPr>
            </w:pPr>
            <w:r>
              <w:rPr>
                <w:rFonts w:ascii="仿宋" w:eastAsia="仿宋" w:hAnsi="仿宋" w:cs="仿宋" w:hint="eastAsia"/>
                <w:b/>
                <w:bCs/>
                <w:color w:val="000000"/>
                <w:lang w:eastAsia="ar-SA"/>
              </w:rPr>
              <w:t>项目</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b/>
                <w:bCs/>
                <w:color w:val="000000"/>
              </w:rPr>
            </w:pPr>
            <w:r>
              <w:rPr>
                <w:rFonts w:ascii="仿宋" w:eastAsia="仿宋" w:hAnsi="仿宋" w:cs="仿宋" w:hint="eastAsia"/>
                <w:b/>
                <w:bCs/>
                <w:color w:val="000000"/>
              </w:rPr>
              <w:t>预算</w:t>
            </w:r>
            <w:r>
              <w:rPr>
                <w:rFonts w:ascii="仿宋" w:eastAsia="仿宋" w:hAnsi="仿宋" w:cs="仿宋" w:hint="eastAsia"/>
                <w:b/>
                <w:bCs/>
                <w:color w:val="000000"/>
                <w:lang w:eastAsia="ar-SA"/>
              </w:rPr>
              <w:t>数</w:t>
            </w: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一、一般公共预算拨款收入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12,110.47</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一、一般公共服务支出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二、政府性基金预算拨款收入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5,000.00</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二、外交支出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三、国有资本经营预算拨款收入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三、国防支出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四、财政专户管理资金收入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四、公共安全支出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五、事业收入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五、教育支出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六、事业单位经营收入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六、科学技术支出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七、上级补助收入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七、文化旅游体育与传媒支出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八、附属单位上缴收入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八、社会保障和就业支出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360.71</w:t>
            </w: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rPr>
                <w:rFonts w:ascii="仿宋" w:eastAsia="仿宋" w:hAnsi="仿宋" w:cs="仿宋"/>
              </w:rPr>
            </w:pPr>
            <w:r>
              <w:rPr>
                <w:rFonts w:ascii="仿宋" w:eastAsia="仿宋" w:hAnsi="仿宋" w:cs="仿宋" w:hint="eastAsia"/>
                <w:sz w:val="20"/>
                <w:lang w:eastAsia="ar-SA"/>
              </w:rPr>
              <w:t>九、其他收入</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九、社会保险基金支出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十、卫生健康支出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114.98</w:t>
            </w: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十一、节能环保支出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十二、城乡社区支出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5,115.72</w:t>
            </w: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十三、农林水支出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3,318.57</w:t>
            </w: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十四、交通运输支出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十五、资源勘探工业信息等支出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十六、商业服务业等支出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十七、金融支出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十八、援助其他地区支出</w:t>
            </w:r>
            <w:r>
              <w:rPr>
                <w:rFonts w:ascii="仿宋" w:eastAsia="仿宋" w:hAnsi="仿宋" w:cs="仿宋" w:hint="eastAsia"/>
                <w:color w:val="000000"/>
                <w:lang w:eastAsia="ar-SA"/>
              </w:rPr>
              <w:t xml:space="preserve"> </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十九、自然资源海洋气象等支出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7,490.73</w:t>
            </w: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二十、住房保障支出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jc w:val="right"/>
              <w:rPr>
                <w:rFonts w:ascii="仿宋" w:eastAsia="仿宋" w:hAnsi="仿宋" w:cs="仿宋"/>
                <w:color w:val="000000"/>
                <w:lang w:eastAsia="ar-SA"/>
              </w:rPr>
            </w:pPr>
            <w:r>
              <w:rPr>
                <w:rFonts w:ascii="仿宋" w:eastAsia="仿宋" w:hAnsi="仿宋" w:cs="仿宋" w:hint="eastAsia"/>
                <w:color w:val="000000"/>
                <w:lang w:eastAsia="ar-SA"/>
              </w:rPr>
              <w:t>709.76</w:t>
            </w: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二十一、粮油物资储备支出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二十二、国有资本经营预算支出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二十三、灾害防治及应急管理支出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二十四、预备费</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二十五、其他支出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二十六、转移性支出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二十七、债务还本支出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二十八、债务付息支出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二十九、债务发行费用支出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val="287"/>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6E5555">
            <w:pPr>
              <w:rPr>
                <w:rFonts w:ascii="仿宋" w:eastAsia="仿宋" w:hAnsi="仿宋" w:cs="仿宋"/>
              </w:rPr>
            </w:pP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keepNext/>
              <w:keepLines/>
              <w:rPr>
                <w:rFonts w:ascii="仿宋" w:eastAsia="仿宋" w:hAnsi="仿宋" w:cs="仿宋"/>
                <w:color w:val="000000"/>
              </w:rPr>
            </w:pPr>
            <w:r>
              <w:rPr>
                <w:rFonts w:ascii="仿宋" w:eastAsia="仿宋" w:hAnsi="仿宋" w:cs="仿宋" w:hint="eastAsia"/>
                <w:color w:val="000000"/>
                <w:lang w:eastAsia="ar-SA"/>
              </w:rPr>
              <w:t>三十、抗疫特别国债安排的支出</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keepNext/>
              <w:keepLines/>
              <w:jc w:val="right"/>
              <w:rPr>
                <w:rFonts w:ascii="仿宋" w:eastAsia="仿宋" w:hAnsi="仿宋" w:cs="仿宋"/>
                <w:color w:val="000000"/>
                <w:lang w:eastAsia="ar-SA"/>
              </w:rPr>
            </w:pPr>
          </w:p>
        </w:tc>
      </w:tr>
      <w:tr w:rsidR="006E5555">
        <w:trPr>
          <w:cantSplit/>
          <w:trHeight w:hRule="exact" w:val="299"/>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color w:val="000000"/>
              </w:rPr>
            </w:pPr>
            <w:r>
              <w:rPr>
                <w:rFonts w:ascii="仿宋" w:eastAsia="仿宋" w:hAnsi="仿宋" w:cs="仿宋" w:hint="eastAsia"/>
                <w:b/>
                <w:bCs/>
                <w:color w:val="000000"/>
                <w:lang w:eastAsia="ar-SA"/>
              </w:rPr>
              <w:t>本年收入合计</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right"/>
              <w:rPr>
                <w:rFonts w:ascii="仿宋" w:eastAsia="仿宋" w:hAnsi="仿宋" w:cs="仿宋"/>
                <w:b/>
                <w:bCs/>
                <w:color w:val="000000"/>
                <w:lang w:val="en-US"/>
              </w:rPr>
            </w:pPr>
            <w:r>
              <w:rPr>
                <w:rFonts w:ascii="仿宋" w:eastAsia="仿宋" w:hAnsi="仿宋" w:cs="仿宋" w:hint="eastAsia"/>
                <w:b/>
                <w:bCs/>
                <w:color w:val="000000"/>
                <w:lang w:val="en-US"/>
              </w:rPr>
              <w:t>17,110.47</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b/>
                <w:bCs/>
                <w:color w:val="000000"/>
                <w:lang w:eastAsia="ar-SA"/>
              </w:rPr>
            </w:pPr>
            <w:r>
              <w:rPr>
                <w:rFonts w:ascii="仿宋" w:eastAsia="仿宋" w:hAnsi="仿宋" w:cs="仿宋" w:hint="eastAsia"/>
                <w:b/>
                <w:bCs/>
                <w:color w:val="000000"/>
                <w:lang w:eastAsia="ar-SA"/>
              </w:rPr>
              <w:t>本年支出合计</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right"/>
              <w:rPr>
                <w:rFonts w:ascii="仿宋" w:eastAsia="仿宋" w:hAnsi="仿宋" w:cs="仿宋"/>
                <w:b/>
                <w:bCs/>
                <w:color w:val="000000"/>
                <w:lang w:val="en-US"/>
              </w:rPr>
            </w:pPr>
            <w:r>
              <w:rPr>
                <w:rFonts w:ascii="仿宋" w:eastAsia="仿宋" w:hAnsi="仿宋" w:cs="仿宋" w:hint="eastAsia"/>
                <w:b/>
                <w:bCs/>
                <w:color w:val="000000"/>
                <w:lang w:val="en-US"/>
              </w:rPr>
              <w:t>17,110.47</w:t>
            </w:r>
          </w:p>
        </w:tc>
      </w:tr>
      <w:tr w:rsidR="006E5555">
        <w:trPr>
          <w:cantSplit/>
          <w:trHeight w:val="192"/>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color w:val="000000"/>
                <w:lang w:val="en-US"/>
              </w:rPr>
            </w:pPr>
            <w:r>
              <w:rPr>
                <w:rFonts w:ascii="仿宋" w:eastAsia="仿宋" w:hAnsi="仿宋" w:cs="仿宋" w:hint="eastAsia"/>
                <w:b/>
                <w:bCs/>
                <w:color w:val="000000"/>
                <w:lang w:val="en-US"/>
              </w:rPr>
              <w:t>上年结转结余</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6E5555">
            <w:pPr>
              <w:jc w:val="right"/>
              <w:rPr>
                <w:rFonts w:ascii="仿宋" w:eastAsia="仿宋" w:hAnsi="仿宋" w:cs="仿宋"/>
                <w:b/>
                <w:bCs/>
                <w:color w:val="000000"/>
                <w:lang w:eastAsia="ar-SA"/>
              </w:rPr>
            </w:pP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b/>
                <w:bCs/>
                <w:color w:val="000000"/>
                <w:lang w:val="en-US"/>
              </w:rPr>
            </w:pPr>
            <w:r>
              <w:rPr>
                <w:rFonts w:ascii="仿宋" w:eastAsia="仿宋" w:hAnsi="仿宋" w:cs="仿宋" w:hint="eastAsia"/>
                <w:b/>
                <w:bCs/>
                <w:color w:val="000000"/>
                <w:lang w:val="en-US"/>
              </w:rPr>
              <w:t>年终结转结余</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6E5555">
            <w:pPr>
              <w:jc w:val="right"/>
              <w:rPr>
                <w:rFonts w:ascii="仿宋" w:eastAsia="仿宋" w:hAnsi="仿宋" w:cs="仿宋"/>
                <w:b/>
                <w:bCs/>
                <w:color w:val="000000"/>
                <w:lang w:val="en-US"/>
              </w:rPr>
            </w:pPr>
          </w:p>
        </w:tc>
      </w:tr>
      <w:tr w:rsidR="006E5555">
        <w:trPr>
          <w:cantSplit/>
          <w:trHeight w:hRule="exact" w:val="289"/>
          <w:jc w:val="center"/>
        </w:trPr>
        <w:tc>
          <w:tcPr>
            <w:tcW w:w="3908"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color w:val="000000"/>
              </w:rPr>
            </w:pPr>
            <w:r>
              <w:rPr>
                <w:rFonts w:ascii="仿宋" w:eastAsia="仿宋" w:hAnsi="仿宋" w:cs="仿宋" w:hint="eastAsia"/>
                <w:b/>
                <w:color w:val="000000"/>
                <w:lang w:val="en-US"/>
              </w:rPr>
              <w:t>收入</w:t>
            </w:r>
            <w:r>
              <w:rPr>
                <w:rFonts w:ascii="仿宋" w:eastAsia="仿宋" w:hAnsi="仿宋" w:cs="仿宋" w:hint="eastAsia"/>
                <w:b/>
                <w:color w:val="000000"/>
                <w:lang w:eastAsia="ar-SA"/>
              </w:rPr>
              <w:t>总计</w:t>
            </w:r>
          </w:p>
        </w:tc>
        <w:tc>
          <w:tcPr>
            <w:tcW w:w="1869"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right"/>
              <w:rPr>
                <w:rFonts w:ascii="仿宋" w:eastAsia="仿宋" w:hAnsi="仿宋" w:cs="仿宋"/>
                <w:b/>
                <w:bCs/>
                <w:color w:val="000000"/>
                <w:lang w:val="en-US" w:eastAsia="ar-SA"/>
              </w:rPr>
            </w:pPr>
            <w:r>
              <w:rPr>
                <w:rFonts w:ascii="仿宋" w:eastAsia="仿宋" w:hAnsi="仿宋" w:cs="仿宋" w:hint="eastAsia"/>
                <w:b/>
                <w:bCs/>
                <w:color w:val="000000"/>
                <w:lang w:val="en-US"/>
              </w:rPr>
              <w:t>17,110.47</w:t>
            </w:r>
          </w:p>
        </w:tc>
        <w:tc>
          <w:tcPr>
            <w:tcW w:w="3771" w:type="dxa"/>
            <w:gridSpan w:val="2"/>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b/>
                <w:bCs/>
                <w:color w:val="000000"/>
                <w:lang w:eastAsia="ar-SA"/>
              </w:rPr>
            </w:pPr>
            <w:r>
              <w:rPr>
                <w:rFonts w:ascii="仿宋" w:eastAsia="仿宋" w:hAnsi="仿宋" w:cs="仿宋" w:hint="eastAsia"/>
                <w:b/>
                <w:bCs/>
                <w:color w:val="000000"/>
                <w:lang w:val="en-US"/>
              </w:rPr>
              <w:t>支出</w:t>
            </w:r>
            <w:r>
              <w:rPr>
                <w:rFonts w:ascii="仿宋" w:eastAsia="仿宋" w:hAnsi="仿宋" w:cs="仿宋" w:hint="eastAsia"/>
                <w:b/>
                <w:bCs/>
                <w:color w:val="000000"/>
                <w:lang w:eastAsia="ar-SA"/>
              </w:rPr>
              <w:t>总计</w:t>
            </w:r>
          </w:p>
        </w:tc>
        <w:tc>
          <w:tcPr>
            <w:tcW w:w="1781" w:type="dxa"/>
            <w:tcBorders>
              <w:top w:val="single" w:sz="4" w:space="0" w:color="000000"/>
              <w:left w:val="single" w:sz="4" w:space="0" w:color="000000"/>
              <w:bottom w:val="single" w:sz="4" w:space="0" w:color="000000"/>
              <w:right w:val="single" w:sz="4" w:space="0" w:color="000000"/>
            </w:tcBorders>
            <w:vAlign w:val="center"/>
          </w:tcPr>
          <w:p w:rsidR="006E5555" w:rsidRDefault="00744F51">
            <w:pPr>
              <w:jc w:val="right"/>
              <w:rPr>
                <w:rFonts w:ascii="仿宋" w:eastAsia="仿宋" w:hAnsi="仿宋" w:cs="仿宋"/>
                <w:b/>
                <w:bCs/>
                <w:color w:val="000000"/>
                <w:lang w:val="en-US"/>
              </w:rPr>
            </w:pPr>
            <w:r>
              <w:rPr>
                <w:rFonts w:ascii="仿宋" w:eastAsia="仿宋" w:hAnsi="仿宋" w:cs="仿宋" w:hint="eastAsia"/>
                <w:b/>
                <w:bCs/>
                <w:color w:val="000000"/>
                <w:lang w:val="en-US"/>
              </w:rPr>
              <w:t>17,110.47</w:t>
            </w:r>
          </w:p>
        </w:tc>
      </w:tr>
    </w:tbl>
    <w:p w:rsidR="006E5555" w:rsidRDefault="006E5555">
      <w:pPr>
        <w:spacing w:before="66"/>
        <w:rPr>
          <w:rFonts w:ascii="仿宋" w:eastAsia="仿宋" w:hAnsi="仿宋" w:cs="仿宋"/>
          <w:b/>
          <w:bCs/>
          <w:color w:val="000000"/>
        </w:rPr>
        <w:sectPr w:rsidR="006E5555">
          <w:footerReference w:type="default" r:id="rId12"/>
          <w:pgSz w:w="11906" w:h="16838"/>
          <w:pgMar w:top="1580" w:right="700" w:bottom="770" w:left="697" w:header="170" w:footer="280" w:gutter="0"/>
          <w:pgNumType w:fmt="numberInDash"/>
          <w:cols w:space="720"/>
          <w:formProt w:val="0"/>
          <w:docGrid w:linePitch="100"/>
        </w:sectPr>
      </w:pPr>
    </w:p>
    <w:tbl>
      <w:tblPr>
        <w:tblW w:w="16703" w:type="dxa"/>
        <w:tblInd w:w="17"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824"/>
        <w:gridCol w:w="1801"/>
        <w:gridCol w:w="976"/>
        <w:gridCol w:w="998"/>
        <w:gridCol w:w="999"/>
        <w:gridCol w:w="749"/>
        <w:gridCol w:w="681"/>
        <w:gridCol w:w="972"/>
        <w:gridCol w:w="983"/>
        <w:gridCol w:w="811"/>
        <w:gridCol w:w="674"/>
        <w:gridCol w:w="686"/>
        <w:gridCol w:w="834"/>
        <w:gridCol w:w="823"/>
        <w:gridCol w:w="823"/>
        <w:gridCol w:w="834"/>
        <w:gridCol w:w="553"/>
        <w:gridCol w:w="822"/>
        <w:gridCol w:w="860"/>
      </w:tblGrid>
      <w:tr w:rsidR="006E5555">
        <w:trPr>
          <w:cantSplit/>
        </w:trPr>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rsidR="006E5555" w:rsidRDefault="00744F51">
            <w:pPr>
              <w:pStyle w:val="TableParagraph"/>
              <w:rPr>
                <w:rFonts w:ascii="仿宋" w:eastAsia="仿宋" w:hAnsi="仿宋" w:cs="仿宋"/>
                <w:lang w:val="en-US"/>
              </w:rPr>
            </w:pPr>
            <w:r>
              <w:rPr>
                <w:rFonts w:ascii="仿宋" w:eastAsia="仿宋" w:hAnsi="仿宋" w:cs="仿宋" w:hint="eastAsia"/>
              </w:rPr>
              <w:lastRenderedPageBreak/>
              <w:t>公开</w:t>
            </w:r>
            <w:r>
              <w:rPr>
                <w:rFonts w:ascii="仿宋" w:eastAsia="仿宋" w:hAnsi="仿宋" w:cs="仿宋" w:hint="eastAsia"/>
              </w:rPr>
              <w:t>02</w:t>
            </w:r>
            <w:r>
              <w:rPr>
                <w:rFonts w:ascii="仿宋" w:eastAsia="仿宋" w:hAnsi="仿宋" w:cs="仿宋" w:hint="eastAsia"/>
              </w:rPr>
              <w:t>表</w:t>
            </w:r>
          </w:p>
        </w:tc>
      </w:tr>
      <w:tr w:rsidR="006E5555">
        <w:trPr>
          <w:cantSplit/>
        </w:trPr>
        <w:tc>
          <w:tcPr>
            <w:tcW w:w="16703" w:type="dxa"/>
            <w:gridSpan w:val="19"/>
            <w:tcBorders>
              <w:top w:val="nil"/>
              <w:left w:val="nil"/>
              <w:bottom w:val="nil"/>
              <w:right w:val="nil"/>
            </w:tcBorders>
            <w:shd w:val="clear" w:color="auto" w:fill="FFFFFF"/>
            <w:tcMar>
              <w:top w:w="0" w:type="dxa"/>
              <w:left w:w="0" w:type="dxa"/>
              <w:bottom w:w="0" w:type="dxa"/>
              <w:right w:w="0" w:type="dxa"/>
            </w:tcMar>
            <w:vAlign w:val="center"/>
          </w:tcPr>
          <w:p w:rsidR="006E5555" w:rsidRDefault="00744F51">
            <w:pPr>
              <w:pStyle w:val="TableParagraph"/>
              <w:jc w:val="center"/>
              <w:rPr>
                <w:rFonts w:ascii="仿宋" w:eastAsia="仿宋" w:hAnsi="仿宋" w:cs="仿宋"/>
                <w:lang w:val="en-US"/>
              </w:rPr>
            </w:pPr>
            <w:r>
              <w:rPr>
                <w:rFonts w:ascii="仿宋" w:eastAsia="仿宋" w:hAnsi="仿宋" w:cs="仿宋" w:hint="eastAsia"/>
                <w:b/>
                <w:bCs/>
                <w:sz w:val="44"/>
                <w:szCs w:val="44"/>
              </w:rPr>
              <w:t>收入</w:t>
            </w:r>
            <w:r>
              <w:rPr>
                <w:rFonts w:ascii="仿宋" w:eastAsia="仿宋" w:hAnsi="仿宋" w:cs="仿宋" w:hint="eastAsia"/>
                <w:b/>
                <w:bCs/>
                <w:sz w:val="44"/>
                <w:szCs w:val="44"/>
                <w:lang w:val="en-US"/>
              </w:rPr>
              <w:t>总</w:t>
            </w:r>
            <w:r>
              <w:rPr>
                <w:rFonts w:ascii="仿宋" w:eastAsia="仿宋" w:hAnsi="仿宋" w:cs="仿宋" w:hint="eastAsia"/>
                <w:b/>
                <w:bCs/>
                <w:sz w:val="44"/>
                <w:szCs w:val="44"/>
              </w:rPr>
              <w:t>表</w:t>
            </w:r>
          </w:p>
        </w:tc>
      </w:tr>
      <w:tr w:rsidR="006E5555">
        <w:trPr>
          <w:cantSplit/>
        </w:trPr>
        <w:tc>
          <w:tcPr>
            <w:tcW w:w="11988" w:type="dxa"/>
            <w:gridSpan w:val="13"/>
            <w:tcBorders>
              <w:top w:val="nil"/>
              <w:left w:val="nil"/>
              <w:bottom w:val="single" w:sz="4" w:space="0" w:color="auto"/>
              <w:right w:val="nil"/>
            </w:tcBorders>
            <w:shd w:val="clear" w:color="auto" w:fill="FFFFFF"/>
            <w:tcMar>
              <w:top w:w="0" w:type="dxa"/>
              <w:left w:w="0" w:type="dxa"/>
              <w:bottom w:w="0" w:type="dxa"/>
              <w:right w:w="0" w:type="dxa"/>
            </w:tcMar>
            <w:vAlign w:val="center"/>
          </w:tcPr>
          <w:p w:rsidR="006E5555" w:rsidRDefault="00744F51">
            <w:pPr>
              <w:pStyle w:val="TableParagraph"/>
              <w:jc w:val="both"/>
              <w:rPr>
                <w:rFonts w:ascii="仿宋" w:eastAsia="仿宋" w:hAnsi="仿宋" w:cs="仿宋"/>
                <w:lang w:val="en-US"/>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4715" w:type="dxa"/>
            <w:gridSpan w:val="6"/>
            <w:tcBorders>
              <w:top w:val="nil"/>
              <w:left w:val="nil"/>
              <w:bottom w:val="single" w:sz="4" w:space="0" w:color="auto"/>
              <w:right w:val="nil"/>
            </w:tcBorders>
            <w:shd w:val="clear" w:color="auto" w:fill="FFFFFF"/>
            <w:tcMar>
              <w:top w:w="0" w:type="dxa"/>
              <w:left w:w="0" w:type="dxa"/>
              <w:bottom w:w="0" w:type="dxa"/>
              <w:right w:w="0" w:type="dxa"/>
            </w:tcMar>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单位</w:t>
            </w:r>
            <w:r>
              <w:rPr>
                <w:rFonts w:ascii="仿宋" w:eastAsia="仿宋" w:hAnsi="仿宋" w:cs="仿宋" w:hint="eastAsia"/>
              </w:rPr>
              <w:t>：万元</w:t>
            </w:r>
          </w:p>
        </w:tc>
      </w:tr>
      <w:tr w:rsidR="006E5555">
        <w:trPr>
          <w:cantSplit/>
        </w:trPr>
        <w:tc>
          <w:tcPr>
            <w:tcW w:w="824"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21"/>
                <w:szCs w:val="21"/>
              </w:rPr>
            </w:pPr>
            <w:r>
              <w:rPr>
                <w:rFonts w:ascii="仿宋" w:eastAsia="仿宋" w:hAnsi="仿宋" w:cs="仿宋" w:hint="eastAsia"/>
                <w:color w:val="000000"/>
              </w:rPr>
              <w:t>单位</w:t>
            </w:r>
            <w:r>
              <w:rPr>
                <w:rFonts w:ascii="仿宋" w:eastAsia="仿宋" w:hAnsi="仿宋" w:cs="仿宋" w:hint="eastAsia"/>
                <w:sz w:val="21"/>
                <w:szCs w:val="21"/>
                <w:lang w:val="en-US"/>
              </w:rPr>
              <w:t>代码</w:t>
            </w:r>
          </w:p>
        </w:tc>
        <w:tc>
          <w:tcPr>
            <w:tcW w:w="1801"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21"/>
                <w:szCs w:val="21"/>
              </w:rPr>
            </w:pPr>
            <w:r>
              <w:rPr>
                <w:rFonts w:ascii="仿宋" w:eastAsia="仿宋" w:hAnsi="仿宋" w:cs="仿宋" w:hint="eastAsia"/>
                <w:color w:val="000000"/>
              </w:rPr>
              <w:t>单位</w:t>
            </w:r>
            <w:r>
              <w:rPr>
                <w:rFonts w:ascii="仿宋" w:eastAsia="仿宋" w:hAnsi="仿宋" w:cs="仿宋" w:hint="eastAsia"/>
                <w:sz w:val="21"/>
                <w:szCs w:val="21"/>
                <w:lang w:val="en-US"/>
              </w:rPr>
              <w:t>名称</w:t>
            </w:r>
          </w:p>
        </w:tc>
        <w:tc>
          <w:tcPr>
            <w:tcW w:w="976"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21"/>
                <w:szCs w:val="21"/>
              </w:rPr>
            </w:pPr>
            <w:r>
              <w:rPr>
                <w:rFonts w:ascii="仿宋" w:eastAsia="仿宋" w:hAnsi="仿宋" w:cs="仿宋" w:hint="eastAsia"/>
                <w:sz w:val="21"/>
                <w:szCs w:val="21"/>
                <w:lang w:val="en-US"/>
              </w:rPr>
              <w:t>合计</w:t>
            </w:r>
          </w:p>
        </w:tc>
        <w:tc>
          <w:tcPr>
            <w:tcW w:w="8387" w:type="dxa"/>
            <w:gridSpan w:val="10"/>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lang w:val="en-US"/>
              </w:rPr>
              <w:t>本年收入</w:t>
            </w:r>
          </w:p>
        </w:tc>
        <w:tc>
          <w:tcPr>
            <w:tcW w:w="4715" w:type="dxa"/>
            <w:gridSpan w:val="6"/>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lang w:val="en-US"/>
              </w:rPr>
              <w:t>上年结转结余</w:t>
            </w:r>
          </w:p>
        </w:tc>
      </w:tr>
      <w:tr w:rsidR="006E5555">
        <w:trPr>
          <w:cantSplit/>
        </w:trPr>
        <w:tc>
          <w:tcPr>
            <w:tcW w:w="824"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pacing w:after="34" w:line="34" w:lineRule="atLeast"/>
              <w:jc w:val="center"/>
              <w:rPr>
                <w:rFonts w:ascii="仿宋" w:eastAsia="仿宋" w:hAnsi="仿宋" w:cs="仿宋"/>
              </w:rPr>
            </w:pPr>
          </w:p>
        </w:tc>
        <w:tc>
          <w:tcPr>
            <w:tcW w:w="1801"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pacing w:after="34" w:line="34" w:lineRule="atLeast"/>
              <w:jc w:val="center"/>
              <w:rPr>
                <w:rFonts w:ascii="仿宋" w:eastAsia="仿宋" w:hAnsi="仿宋" w:cs="仿宋"/>
              </w:rPr>
            </w:pPr>
          </w:p>
        </w:tc>
        <w:tc>
          <w:tcPr>
            <w:tcW w:w="976"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pacing w:after="34" w:line="34" w:lineRule="atLeast"/>
              <w:jc w:val="center"/>
              <w:rPr>
                <w:rFonts w:ascii="仿宋" w:eastAsia="仿宋" w:hAnsi="仿宋" w:cs="仿宋"/>
              </w:rPr>
            </w:pPr>
          </w:p>
        </w:tc>
        <w:tc>
          <w:tcPr>
            <w:tcW w:w="99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小计</w:t>
            </w:r>
          </w:p>
        </w:tc>
        <w:tc>
          <w:tcPr>
            <w:tcW w:w="99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一般公共预算</w:t>
            </w:r>
          </w:p>
        </w:tc>
        <w:tc>
          <w:tcPr>
            <w:tcW w:w="74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政府性基金预算</w:t>
            </w:r>
          </w:p>
        </w:tc>
        <w:tc>
          <w:tcPr>
            <w:tcW w:w="68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国有资本经营预算</w:t>
            </w:r>
          </w:p>
        </w:tc>
        <w:tc>
          <w:tcPr>
            <w:tcW w:w="97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财政专户管理资金</w:t>
            </w:r>
          </w:p>
        </w:tc>
        <w:tc>
          <w:tcPr>
            <w:tcW w:w="98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lang w:val="en-US"/>
              </w:rPr>
            </w:pPr>
            <w:r>
              <w:rPr>
                <w:rFonts w:ascii="仿宋" w:eastAsia="仿宋" w:hAnsi="仿宋" w:cs="仿宋" w:hint="eastAsia"/>
                <w:sz w:val="18"/>
                <w:szCs w:val="18"/>
                <w:lang w:val="en-US"/>
              </w:rPr>
              <w:t>事业</w:t>
            </w:r>
          </w:p>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收入</w:t>
            </w:r>
          </w:p>
        </w:tc>
        <w:tc>
          <w:tcPr>
            <w:tcW w:w="81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事业单位经营收入</w:t>
            </w:r>
          </w:p>
        </w:tc>
        <w:tc>
          <w:tcPr>
            <w:tcW w:w="67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上级补助收入</w:t>
            </w:r>
          </w:p>
        </w:tc>
        <w:tc>
          <w:tcPr>
            <w:tcW w:w="68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附属单位上缴收入</w:t>
            </w: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lang w:val="en-US"/>
              </w:rPr>
            </w:pPr>
            <w:r>
              <w:rPr>
                <w:rFonts w:ascii="仿宋" w:eastAsia="仿宋" w:hAnsi="仿宋" w:cs="仿宋" w:hint="eastAsia"/>
                <w:sz w:val="18"/>
                <w:szCs w:val="18"/>
                <w:lang w:val="en-US"/>
              </w:rPr>
              <w:t>其他</w:t>
            </w:r>
          </w:p>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收入</w:t>
            </w: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小计</w:t>
            </w: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一般公共预算</w:t>
            </w: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政府性基金预算</w:t>
            </w:r>
          </w:p>
        </w:tc>
        <w:tc>
          <w:tcPr>
            <w:tcW w:w="55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国有资本经营预算</w:t>
            </w:r>
          </w:p>
        </w:tc>
        <w:tc>
          <w:tcPr>
            <w:tcW w:w="82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财政专户管理资金</w:t>
            </w:r>
          </w:p>
        </w:tc>
        <w:tc>
          <w:tcPr>
            <w:tcW w:w="86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pacing w:after="34" w:line="34" w:lineRule="atLeast"/>
              <w:jc w:val="center"/>
              <w:rPr>
                <w:rFonts w:ascii="仿宋" w:eastAsia="仿宋" w:hAnsi="仿宋" w:cs="仿宋"/>
                <w:sz w:val="18"/>
                <w:szCs w:val="18"/>
                <w:lang w:val="en-US"/>
              </w:rPr>
            </w:pPr>
            <w:r>
              <w:rPr>
                <w:rFonts w:ascii="仿宋" w:eastAsia="仿宋" w:hAnsi="仿宋" w:cs="仿宋" w:hint="eastAsia"/>
                <w:sz w:val="18"/>
                <w:szCs w:val="18"/>
                <w:lang w:val="en-US"/>
              </w:rPr>
              <w:t>单位</w:t>
            </w:r>
          </w:p>
          <w:p w:rsidR="006E5555" w:rsidRDefault="00744F51">
            <w:pPr>
              <w:pStyle w:val="TableParagraph"/>
              <w:spacing w:after="34" w:line="34" w:lineRule="atLeast"/>
              <w:jc w:val="center"/>
              <w:rPr>
                <w:rFonts w:ascii="仿宋" w:eastAsia="仿宋" w:hAnsi="仿宋" w:cs="仿宋"/>
                <w:sz w:val="18"/>
                <w:szCs w:val="18"/>
              </w:rPr>
            </w:pPr>
            <w:r>
              <w:rPr>
                <w:rFonts w:ascii="仿宋" w:eastAsia="仿宋" w:hAnsi="仿宋" w:cs="仿宋" w:hint="eastAsia"/>
                <w:sz w:val="18"/>
                <w:szCs w:val="18"/>
                <w:lang w:val="en-US"/>
              </w:rPr>
              <w:t>资金</w:t>
            </w:r>
          </w:p>
        </w:tc>
      </w:tr>
      <w:tr w:rsidR="006E5555">
        <w:trPr>
          <w:cantSplit/>
        </w:trPr>
        <w:tc>
          <w:tcPr>
            <w:tcW w:w="2625"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center"/>
              <w:rPr>
                <w:rFonts w:ascii="仿宋" w:eastAsia="仿宋" w:hAnsi="仿宋" w:cs="仿宋"/>
                <w:color w:val="000000"/>
                <w:sz w:val="15"/>
                <w:szCs w:val="15"/>
                <w:lang w:eastAsia="ar-SA"/>
              </w:rPr>
            </w:pPr>
            <w:r>
              <w:rPr>
                <w:rFonts w:ascii="仿宋" w:eastAsia="仿宋" w:hAnsi="仿宋" w:cs="仿宋" w:hint="eastAsia"/>
                <w:color w:val="000000"/>
                <w:sz w:val="15"/>
                <w:szCs w:val="15"/>
                <w:lang w:val="en-US"/>
              </w:rPr>
              <w:t>合计</w:t>
            </w:r>
          </w:p>
        </w:tc>
        <w:tc>
          <w:tcPr>
            <w:tcW w:w="9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right"/>
              <w:rPr>
                <w:rFonts w:ascii="仿宋" w:eastAsia="仿宋" w:hAnsi="仿宋" w:cs="仿宋"/>
                <w:color w:val="000000"/>
                <w:sz w:val="15"/>
                <w:szCs w:val="15"/>
                <w:lang w:val="en-US"/>
              </w:rPr>
            </w:pPr>
            <w:r>
              <w:rPr>
                <w:rFonts w:ascii="仿宋" w:eastAsia="仿宋" w:hAnsi="仿宋" w:cs="仿宋" w:hint="eastAsia"/>
                <w:color w:val="000000"/>
                <w:sz w:val="15"/>
                <w:szCs w:val="15"/>
                <w:lang w:val="en-US"/>
              </w:rPr>
              <w:t>17,110.47</w:t>
            </w:r>
          </w:p>
        </w:tc>
        <w:tc>
          <w:tcPr>
            <w:tcW w:w="99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right"/>
              <w:rPr>
                <w:rFonts w:ascii="仿宋" w:eastAsia="仿宋" w:hAnsi="仿宋" w:cs="仿宋"/>
                <w:color w:val="000000"/>
                <w:sz w:val="15"/>
                <w:szCs w:val="15"/>
                <w:lang w:val="en-US"/>
              </w:rPr>
            </w:pPr>
            <w:r>
              <w:rPr>
                <w:rFonts w:ascii="仿宋" w:eastAsia="仿宋" w:hAnsi="仿宋" w:cs="仿宋" w:hint="eastAsia"/>
                <w:color w:val="000000"/>
                <w:sz w:val="15"/>
                <w:szCs w:val="15"/>
                <w:lang w:val="en-US"/>
              </w:rPr>
              <w:t>17,110.47</w:t>
            </w:r>
          </w:p>
        </w:tc>
        <w:tc>
          <w:tcPr>
            <w:tcW w:w="99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right"/>
              <w:rPr>
                <w:rFonts w:ascii="仿宋" w:eastAsia="仿宋" w:hAnsi="仿宋" w:cs="仿宋"/>
                <w:color w:val="000000"/>
                <w:sz w:val="15"/>
                <w:szCs w:val="15"/>
                <w:lang w:val="en-US"/>
              </w:rPr>
            </w:pPr>
            <w:r>
              <w:rPr>
                <w:rFonts w:ascii="仿宋" w:eastAsia="仿宋" w:hAnsi="仿宋" w:cs="仿宋" w:hint="eastAsia"/>
                <w:color w:val="000000"/>
                <w:sz w:val="15"/>
                <w:szCs w:val="15"/>
                <w:lang w:val="en-US"/>
              </w:rPr>
              <w:t>12,110.47</w:t>
            </w:r>
          </w:p>
        </w:tc>
        <w:tc>
          <w:tcPr>
            <w:tcW w:w="74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right"/>
              <w:rPr>
                <w:rFonts w:ascii="仿宋" w:eastAsia="仿宋" w:hAnsi="仿宋" w:cs="仿宋"/>
                <w:color w:val="000000"/>
                <w:sz w:val="15"/>
                <w:szCs w:val="15"/>
                <w:lang w:val="en-US"/>
              </w:rPr>
            </w:pPr>
            <w:r>
              <w:rPr>
                <w:rFonts w:ascii="仿宋" w:eastAsia="仿宋" w:hAnsi="仿宋" w:cs="仿宋" w:hint="eastAsia"/>
                <w:color w:val="000000"/>
                <w:sz w:val="15"/>
                <w:szCs w:val="15"/>
                <w:lang w:val="en-US"/>
              </w:rPr>
              <w:t>5,000.00</w:t>
            </w:r>
          </w:p>
        </w:tc>
        <w:tc>
          <w:tcPr>
            <w:tcW w:w="68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97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98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81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67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68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55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82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c>
          <w:tcPr>
            <w:tcW w:w="86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val="en-US"/>
              </w:rPr>
            </w:pPr>
          </w:p>
        </w:tc>
      </w:tr>
      <w:tr w:rsidR="006E5555">
        <w:trPr>
          <w:cantSplit/>
        </w:trPr>
        <w:tc>
          <w:tcPr>
            <w:tcW w:w="82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 xml:space="preserve">  362001</w:t>
            </w:r>
          </w:p>
        </w:tc>
        <w:tc>
          <w:tcPr>
            <w:tcW w:w="180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无锡市自然资源和规划局（本级）</w:t>
            </w:r>
          </w:p>
        </w:tc>
        <w:tc>
          <w:tcPr>
            <w:tcW w:w="9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right"/>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17,110.47</w:t>
            </w:r>
          </w:p>
        </w:tc>
        <w:tc>
          <w:tcPr>
            <w:tcW w:w="99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right"/>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17,110.47</w:t>
            </w:r>
          </w:p>
        </w:tc>
        <w:tc>
          <w:tcPr>
            <w:tcW w:w="99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right"/>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12,110.47</w:t>
            </w:r>
          </w:p>
        </w:tc>
        <w:tc>
          <w:tcPr>
            <w:tcW w:w="749"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pacing w:line="34" w:lineRule="atLeast"/>
              <w:ind w:right="45"/>
              <w:jc w:val="right"/>
              <w:rPr>
                <w:rFonts w:ascii="仿宋" w:eastAsia="仿宋" w:hAnsi="仿宋" w:cs="仿宋"/>
                <w:color w:val="000000"/>
                <w:sz w:val="15"/>
                <w:szCs w:val="15"/>
                <w:lang w:eastAsia="ar-SA"/>
              </w:rPr>
            </w:pPr>
            <w:r>
              <w:rPr>
                <w:rFonts w:ascii="仿宋" w:eastAsia="仿宋" w:hAnsi="仿宋" w:cs="仿宋" w:hint="eastAsia"/>
                <w:color w:val="000000"/>
                <w:sz w:val="15"/>
                <w:szCs w:val="15"/>
                <w:lang w:eastAsia="ar-SA"/>
              </w:rPr>
              <w:t>5,000.00</w:t>
            </w:r>
          </w:p>
        </w:tc>
        <w:tc>
          <w:tcPr>
            <w:tcW w:w="68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97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98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81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67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68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82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83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553"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82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c>
          <w:tcPr>
            <w:tcW w:w="86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pacing w:line="34" w:lineRule="atLeast"/>
              <w:ind w:right="45"/>
              <w:jc w:val="right"/>
              <w:rPr>
                <w:rFonts w:ascii="仿宋" w:eastAsia="仿宋" w:hAnsi="仿宋" w:cs="仿宋"/>
                <w:color w:val="000000"/>
                <w:sz w:val="15"/>
                <w:szCs w:val="15"/>
                <w:lang w:eastAsia="ar-SA"/>
              </w:rPr>
            </w:pPr>
          </w:p>
        </w:tc>
      </w:tr>
    </w:tbl>
    <w:p w:rsidR="006E5555" w:rsidRDefault="006E5555">
      <w:pPr>
        <w:spacing w:before="66"/>
        <w:rPr>
          <w:rFonts w:ascii="仿宋" w:eastAsia="仿宋" w:hAnsi="仿宋" w:cs="仿宋"/>
          <w:b/>
          <w:bCs/>
        </w:rPr>
        <w:sectPr w:rsidR="006E5555">
          <w:footerReference w:type="default" r:id="rId13"/>
          <w:pgSz w:w="16838" w:h="11906" w:orient="landscape"/>
          <w:pgMar w:top="720" w:right="57" w:bottom="720" w:left="57" w:header="170" w:footer="280" w:gutter="0"/>
          <w:pgNumType w:fmt="numberInDash"/>
          <w:cols w:space="720"/>
          <w:formProt w:val="0"/>
          <w:docGrid w:linePitch="100"/>
        </w:sectPr>
      </w:pPr>
    </w:p>
    <w:tbl>
      <w:tblPr>
        <w:tblW w:w="15347" w:type="dxa"/>
        <w:tblInd w:w="96" w:type="dxa"/>
        <w:tblLayout w:type="fixed"/>
        <w:tblCellMar>
          <w:top w:w="55" w:type="dxa"/>
          <w:left w:w="55" w:type="dxa"/>
          <w:bottom w:w="55" w:type="dxa"/>
          <w:right w:w="55" w:type="dxa"/>
        </w:tblCellMar>
        <w:tblLook w:val="04A0" w:firstRow="1" w:lastRow="0" w:firstColumn="1" w:lastColumn="0" w:noHBand="0" w:noVBand="1"/>
      </w:tblPr>
      <w:tblGrid>
        <w:gridCol w:w="1556"/>
        <w:gridCol w:w="3223"/>
        <w:gridCol w:w="1920"/>
        <w:gridCol w:w="1714"/>
        <w:gridCol w:w="1749"/>
        <w:gridCol w:w="1868"/>
        <w:gridCol w:w="1680"/>
        <w:gridCol w:w="1637"/>
      </w:tblGrid>
      <w:tr w:rsidR="006E5555">
        <w:trPr>
          <w:cantSplit/>
          <w:trHeight w:val="341"/>
        </w:trPr>
        <w:tc>
          <w:tcPr>
            <w:tcW w:w="15347" w:type="dxa"/>
            <w:gridSpan w:val="8"/>
            <w:vAlign w:val="center"/>
          </w:tcPr>
          <w:p w:rsidR="006E5555" w:rsidRDefault="00744F51">
            <w:pPr>
              <w:pStyle w:val="4"/>
              <w:spacing w:after="34" w:line="34" w:lineRule="atLeast"/>
              <w:jc w:val="left"/>
              <w:rPr>
                <w:rFonts w:ascii="仿宋" w:eastAsia="仿宋" w:hAnsi="仿宋" w:cs="仿宋"/>
                <w:b/>
                <w:bCs/>
                <w:sz w:val="44"/>
                <w:szCs w:val="44"/>
              </w:rPr>
            </w:pPr>
            <w:r>
              <w:rPr>
                <w:rFonts w:ascii="仿宋" w:eastAsia="仿宋" w:hAnsi="仿宋" w:cs="仿宋" w:hint="eastAsia"/>
                <w:sz w:val="22"/>
                <w:szCs w:val="22"/>
              </w:rPr>
              <w:lastRenderedPageBreak/>
              <w:t>公开</w:t>
            </w:r>
            <w:r>
              <w:rPr>
                <w:rFonts w:ascii="仿宋" w:eastAsia="仿宋" w:hAnsi="仿宋" w:cs="仿宋" w:hint="eastAsia"/>
                <w:sz w:val="22"/>
                <w:szCs w:val="22"/>
              </w:rPr>
              <w:t>03</w:t>
            </w:r>
            <w:r>
              <w:rPr>
                <w:rFonts w:ascii="仿宋" w:eastAsia="仿宋" w:hAnsi="仿宋" w:cs="仿宋" w:hint="eastAsia"/>
                <w:sz w:val="22"/>
                <w:szCs w:val="22"/>
              </w:rPr>
              <w:t>表</w:t>
            </w:r>
          </w:p>
        </w:tc>
      </w:tr>
      <w:tr w:rsidR="006E5555">
        <w:trPr>
          <w:cantSplit/>
          <w:trHeight w:val="321"/>
        </w:trPr>
        <w:tc>
          <w:tcPr>
            <w:tcW w:w="15347" w:type="dxa"/>
            <w:gridSpan w:val="8"/>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b/>
                <w:bCs/>
                <w:sz w:val="44"/>
                <w:szCs w:val="44"/>
              </w:rPr>
              <w:t>支出</w:t>
            </w:r>
            <w:r>
              <w:rPr>
                <w:rFonts w:ascii="仿宋" w:eastAsia="仿宋" w:hAnsi="仿宋" w:cs="仿宋" w:hint="eastAsia"/>
                <w:b/>
                <w:bCs/>
                <w:sz w:val="44"/>
                <w:szCs w:val="44"/>
                <w:lang w:val="en-US"/>
              </w:rPr>
              <w:t>总</w:t>
            </w:r>
            <w:r>
              <w:rPr>
                <w:rFonts w:ascii="仿宋" w:eastAsia="仿宋" w:hAnsi="仿宋" w:cs="仿宋" w:hint="eastAsia"/>
                <w:b/>
                <w:bCs/>
                <w:sz w:val="44"/>
                <w:szCs w:val="44"/>
              </w:rPr>
              <w:t>表</w:t>
            </w:r>
          </w:p>
        </w:tc>
      </w:tr>
      <w:tr w:rsidR="006E5555">
        <w:trPr>
          <w:cantSplit/>
          <w:trHeight w:val="218"/>
        </w:trPr>
        <w:tc>
          <w:tcPr>
            <w:tcW w:w="12030" w:type="dxa"/>
            <w:gridSpan w:val="6"/>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3317" w:type="dxa"/>
            <w:gridSpan w:val="2"/>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单位</w:t>
            </w:r>
            <w:r>
              <w:rPr>
                <w:rFonts w:ascii="仿宋" w:eastAsia="仿宋" w:hAnsi="仿宋" w:cs="仿宋" w:hint="eastAsia"/>
              </w:rPr>
              <w:t>：万元</w:t>
            </w:r>
          </w:p>
        </w:tc>
      </w:tr>
      <w:tr w:rsidR="006E5555">
        <w:trPr>
          <w:cantSplit/>
          <w:trHeight w:val="533"/>
        </w:trPr>
        <w:tc>
          <w:tcPr>
            <w:tcW w:w="1556" w:type="dxa"/>
            <w:tcBorders>
              <w:top w:val="single" w:sz="4" w:space="0" w:color="000000"/>
              <w:left w:val="single" w:sz="4" w:space="0" w:color="000000"/>
              <w:bottom w:val="single" w:sz="4"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科目编码</w:t>
            </w:r>
          </w:p>
        </w:tc>
        <w:tc>
          <w:tcPr>
            <w:tcW w:w="3223" w:type="dxa"/>
            <w:tcBorders>
              <w:top w:val="single" w:sz="4" w:space="0" w:color="000000"/>
              <w:left w:val="single" w:sz="4" w:space="0" w:color="000000"/>
              <w:bottom w:val="single" w:sz="4"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科目名称</w:t>
            </w:r>
          </w:p>
        </w:tc>
        <w:tc>
          <w:tcPr>
            <w:tcW w:w="1920" w:type="dxa"/>
            <w:tcBorders>
              <w:top w:val="single" w:sz="4" w:space="0" w:color="000000"/>
              <w:left w:val="single" w:sz="4" w:space="0" w:color="000000"/>
              <w:bottom w:val="single" w:sz="4"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合计</w:t>
            </w:r>
          </w:p>
        </w:tc>
        <w:tc>
          <w:tcPr>
            <w:tcW w:w="1714" w:type="dxa"/>
            <w:tcBorders>
              <w:top w:val="single" w:sz="4" w:space="0" w:color="000000"/>
              <w:left w:val="single" w:sz="4" w:space="0" w:color="000000"/>
              <w:bottom w:val="single" w:sz="4"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基本支出</w:t>
            </w:r>
          </w:p>
        </w:tc>
        <w:tc>
          <w:tcPr>
            <w:tcW w:w="1749" w:type="dxa"/>
            <w:tcBorders>
              <w:top w:val="single" w:sz="4" w:space="0" w:color="000000"/>
              <w:left w:val="single" w:sz="4" w:space="0" w:color="000000"/>
              <w:bottom w:val="single" w:sz="4"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项目支出</w:t>
            </w:r>
          </w:p>
        </w:tc>
        <w:tc>
          <w:tcPr>
            <w:tcW w:w="1868" w:type="dxa"/>
            <w:tcBorders>
              <w:top w:val="single" w:sz="4" w:space="0" w:color="000000"/>
              <w:left w:val="single" w:sz="4" w:space="0" w:color="000000"/>
              <w:bottom w:val="single" w:sz="4" w:space="0" w:color="000000"/>
            </w:tcBorders>
            <w:vAlign w:val="center"/>
          </w:tcPr>
          <w:p w:rsidR="006E5555" w:rsidRDefault="00744F51">
            <w:pPr>
              <w:pStyle w:val="TableParagraph"/>
              <w:spacing w:after="34" w:line="34" w:lineRule="atLeast"/>
              <w:jc w:val="center"/>
              <w:rPr>
                <w:rFonts w:ascii="仿宋" w:eastAsia="仿宋" w:hAnsi="仿宋" w:cs="仿宋"/>
                <w:lang w:val="en-US"/>
              </w:rPr>
            </w:pPr>
            <w:r>
              <w:rPr>
                <w:rFonts w:ascii="仿宋" w:eastAsia="仿宋" w:hAnsi="仿宋" w:cs="仿宋" w:hint="eastAsia"/>
                <w:lang w:val="en-US"/>
              </w:rPr>
              <w:t>事业单位</w:t>
            </w:r>
          </w:p>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lang w:val="en-US"/>
              </w:rPr>
              <w:t>经营支出</w:t>
            </w:r>
          </w:p>
        </w:tc>
        <w:tc>
          <w:tcPr>
            <w:tcW w:w="1680" w:type="dxa"/>
            <w:tcBorders>
              <w:top w:val="single" w:sz="4" w:space="0" w:color="000000"/>
              <w:left w:val="single" w:sz="4" w:space="0" w:color="000000"/>
              <w:bottom w:val="single" w:sz="4"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上缴上级支出</w:t>
            </w:r>
          </w:p>
        </w:tc>
        <w:tc>
          <w:tcPr>
            <w:tcW w:w="163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对附属单位补助支出</w:t>
            </w:r>
          </w:p>
        </w:tc>
      </w:tr>
      <w:tr w:rsidR="006E5555">
        <w:trPr>
          <w:cantSplit/>
          <w:trHeight w:hRule="exact" w:val="375"/>
        </w:trPr>
        <w:tc>
          <w:tcPr>
            <w:tcW w:w="4779" w:type="dxa"/>
            <w:gridSpan w:val="2"/>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rPr>
              <w:t>合计</w:t>
            </w:r>
          </w:p>
        </w:tc>
        <w:tc>
          <w:tcPr>
            <w:tcW w:w="1920" w:type="dxa"/>
            <w:tcBorders>
              <w:left w:val="single" w:sz="4" w:space="0" w:color="000000"/>
              <w:bottom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17,110.47</w:t>
            </w:r>
          </w:p>
        </w:tc>
        <w:tc>
          <w:tcPr>
            <w:tcW w:w="1714" w:type="dxa"/>
            <w:tcBorders>
              <w:left w:val="single" w:sz="4" w:space="0" w:color="000000"/>
              <w:bottom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3,175.77</w:t>
            </w:r>
          </w:p>
        </w:tc>
        <w:tc>
          <w:tcPr>
            <w:tcW w:w="1749" w:type="dxa"/>
            <w:tcBorders>
              <w:left w:val="single" w:sz="4" w:space="0" w:color="000000"/>
              <w:bottom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13,934.70</w:t>
            </w:r>
          </w:p>
        </w:tc>
        <w:tc>
          <w:tcPr>
            <w:tcW w:w="1868" w:type="dxa"/>
            <w:tcBorders>
              <w:left w:val="single" w:sz="4" w:space="0" w:color="000000"/>
              <w:bottom w:val="single" w:sz="4" w:space="0" w:color="000000"/>
            </w:tcBorders>
            <w:vAlign w:val="center"/>
          </w:tcPr>
          <w:p w:rsidR="006E5555" w:rsidRDefault="006E5555">
            <w:pPr>
              <w:pStyle w:val="TableParagraph"/>
              <w:jc w:val="right"/>
              <w:rPr>
                <w:rFonts w:ascii="仿宋" w:eastAsia="仿宋" w:hAnsi="仿宋" w:cs="仿宋"/>
              </w:rPr>
            </w:pPr>
          </w:p>
        </w:tc>
        <w:tc>
          <w:tcPr>
            <w:tcW w:w="1680" w:type="dxa"/>
            <w:tcBorders>
              <w:left w:val="single" w:sz="4" w:space="0" w:color="000000"/>
              <w:bottom w:val="single" w:sz="4" w:space="0" w:color="000000"/>
            </w:tcBorders>
            <w:vAlign w:val="center"/>
          </w:tcPr>
          <w:p w:rsidR="006E5555" w:rsidRDefault="006E5555">
            <w:pPr>
              <w:pStyle w:val="TableParagraph"/>
              <w:jc w:val="right"/>
              <w:rPr>
                <w:rFonts w:ascii="仿宋" w:eastAsia="仿宋" w:hAnsi="仿宋" w:cs="仿宋"/>
              </w:rPr>
            </w:pPr>
          </w:p>
        </w:tc>
        <w:tc>
          <w:tcPr>
            <w:tcW w:w="1637" w:type="dxa"/>
            <w:tcBorders>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208</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社会保障和就业支出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20805</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行政事业单位养老支出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2080505</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机关事业单位基本养老保险缴费支出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2080506</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机关事业单位职业年金缴费支出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210</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卫生健康支出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21011</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行政事业单位医疗</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2101101</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行政单位医疗</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212</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城乡社区支出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5,115.72</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5,115.72</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21202</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城乡社区规划与管理</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115.72</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115.72</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2120201</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城乡社区规划与管理</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115.72</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115.72</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21208</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国有土地使用权出让收入安排的支出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5,000.00</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5,000.00</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2120814</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农业生产发展支出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3,500.00</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3,500.00</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2120816</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农业农村生态环境支出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1,500.00</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1,500.00</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213</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农林水支出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21302</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林业和草原</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2130299</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其他林业和草原支出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220</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自然资源海洋气象等支出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7,490.73</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1,990.32</w:t>
            </w: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5,500.41</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lastRenderedPageBreak/>
              <w:t xml:space="preserve">  22001</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自然资源事务</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7,490.73</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1,990.32</w:t>
            </w: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5,500.41</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2200101</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行政运行</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1,990.32</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1,990.32</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2200108</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自然资源行业业务管理</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2,273.52</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2,273.52</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2200199</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其他自然资源事务支出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3,226.89</w:t>
            </w:r>
          </w:p>
        </w:tc>
        <w:tc>
          <w:tcPr>
            <w:tcW w:w="1714"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749"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3,226.89</w:t>
            </w: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221</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住房保障支出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22102</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住房改革支出</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2210201</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住房公积金</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2210202</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提租补贴</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286.58</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286.58</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r w:rsidR="006E5555">
        <w:trPr>
          <w:cantSplit/>
          <w:trHeight w:val="168"/>
        </w:trPr>
        <w:tc>
          <w:tcPr>
            <w:tcW w:w="1556"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2210203</w:t>
            </w:r>
          </w:p>
        </w:tc>
        <w:tc>
          <w:tcPr>
            <w:tcW w:w="3223"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购房补贴</w:t>
            </w:r>
          </w:p>
        </w:tc>
        <w:tc>
          <w:tcPr>
            <w:tcW w:w="1920"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199.03</w:t>
            </w:r>
          </w:p>
        </w:tc>
        <w:tc>
          <w:tcPr>
            <w:tcW w:w="1714" w:type="dxa"/>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199.03</w:t>
            </w:r>
          </w:p>
        </w:tc>
        <w:tc>
          <w:tcPr>
            <w:tcW w:w="1749"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868"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80"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c>
          <w:tcPr>
            <w:tcW w:w="1637" w:type="dxa"/>
            <w:tcBorders>
              <w:top w:val="single" w:sz="4" w:space="0" w:color="000000"/>
              <w:left w:val="single" w:sz="4" w:space="0" w:color="000000"/>
              <w:bottom w:val="single" w:sz="4" w:space="0" w:color="000000"/>
              <w:right w:val="single" w:sz="4" w:space="0" w:color="000000"/>
            </w:tcBorders>
          </w:tcPr>
          <w:p w:rsidR="006E5555" w:rsidRDefault="006E5555">
            <w:pPr>
              <w:pStyle w:val="TableParagraph"/>
              <w:jc w:val="right"/>
              <w:rPr>
                <w:rFonts w:ascii="仿宋" w:eastAsia="仿宋" w:hAnsi="仿宋" w:cs="仿宋"/>
              </w:rPr>
            </w:pPr>
          </w:p>
        </w:tc>
      </w:tr>
    </w:tbl>
    <w:p w:rsidR="006E5555" w:rsidRDefault="006E5555">
      <w:pPr>
        <w:spacing w:before="59"/>
        <w:ind w:left="57"/>
        <w:rPr>
          <w:rFonts w:ascii="仿宋" w:eastAsia="仿宋" w:hAnsi="仿宋" w:cs="仿宋"/>
          <w:b/>
          <w:bCs/>
        </w:rPr>
        <w:sectPr w:rsidR="006E5555">
          <w:footerReference w:type="default" r:id="rId14"/>
          <w:pgSz w:w="16838" w:h="11906" w:orient="landscape"/>
          <w:pgMar w:top="720" w:right="720" w:bottom="720" w:left="720" w:header="170" w:footer="280" w:gutter="0"/>
          <w:pgNumType w:fmt="numberInDash"/>
          <w:cols w:space="720"/>
          <w:formProt w:val="0"/>
          <w:docGrid w:linePitch="100"/>
        </w:sectPr>
      </w:pPr>
    </w:p>
    <w:tbl>
      <w:tblPr>
        <w:tblW w:w="15789" w:type="dxa"/>
        <w:tblInd w:w="-125" w:type="dxa"/>
        <w:tblLayout w:type="fixed"/>
        <w:tblCellMar>
          <w:top w:w="55" w:type="dxa"/>
          <w:left w:w="55" w:type="dxa"/>
          <w:bottom w:w="55" w:type="dxa"/>
          <w:right w:w="55" w:type="dxa"/>
        </w:tblCellMar>
        <w:tblLook w:val="04A0" w:firstRow="1" w:lastRow="0" w:firstColumn="1" w:lastColumn="0" w:noHBand="0" w:noVBand="1"/>
      </w:tblPr>
      <w:tblGrid>
        <w:gridCol w:w="3987"/>
        <w:gridCol w:w="3960"/>
        <w:gridCol w:w="3943"/>
        <w:gridCol w:w="3899"/>
      </w:tblGrid>
      <w:tr w:rsidR="006E5555">
        <w:trPr>
          <w:cantSplit/>
          <w:trHeight w:val="319"/>
        </w:trPr>
        <w:tc>
          <w:tcPr>
            <w:tcW w:w="15789" w:type="dxa"/>
            <w:gridSpan w:val="4"/>
          </w:tcPr>
          <w:p w:rsidR="006E5555" w:rsidRDefault="00744F51">
            <w:pPr>
              <w:pStyle w:val="TableParagraph"/>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04</w:t>
            </w:r>
            <w:r>
              <w:rPr>
                <w:rFonts w:ascii="仿宋" w:eastAsia="仿宋" w:hAnsi="仿宋" w:cs="仿宋" w:hint="eastAsia"/>
              </w:rPr>
              <w:t>表</w:t>
            </w:r>
          </w:p>
        </w:tc>
      </w:tr>
      <w:tr w:rsidR="006E5555">
        <w:trPr>
          <w:cantSplit/>
          <w:trHeight w:val="319"/>
        </w:trPr>
        <w:tc>
          <w:tcPr>
            <w:tcW w:w="15789" w:type="dxa"/>
            <w:gridSpan w:val="4"/>
          </w:tcPr>
          <w:p w:rsidR="006E5555" w:rsidRDefault="00744F51">
            <w:pPr>
              <w:pStyle w:val="TableParagraph"/>
              <w:jc w:val="center"/>
              <w:rPr>
                <w:rFonts w:ascii="仿宋" w:eastAsia="仿宋" w:hAnsi="仿宋" w:cs="仿宋"/>
              </w:rPr>
            </w:pPr>
            <w:r>
              <w:rPr>
                <w:rFonts w:ascii="仿宋" w:eastAsia="仿宋" w:hAnsi="仿宋" w:cs="仿宋" w:hint="eastAsia"/>
                <w:b/>
                <w:bCs/>
                <w:sz w:val="44"/>
                <w:szCs w:val="44"/>
              </w:rPr>
              <w:t>财政拨款收支总表</w:t>
            </w:r>
          </w:p>
        </w:tc>
      </w:tr>
      <w:tr w:rsidR="006E5555">
        <w:trPr>
          <w:cantSplit/>
          <w:trHeight w:val="319"/>
        </w:trPr>
        <w:tc>
          <w:tcPr>
            <w:tcW w:w="11890" w:type="dxa"/>
            <w:gridSpan w:val="3"/>
          </w:tcPr>
          <w:p w:rsidR="006E5555" w:rsidRDefault="00744F5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3899" w:type="dxa"/>
            <w:vAlign w:val="center"/>
          </w:tcPr>
          <w:p w:rsidR="006E5555" w:rsidRDefault="00744F51">
            <w:pPr>
              <w:pStyle w:val="TableParagraph"/>
              <w:jc w:val="right"/>
              <w:rPr>
                <w:rFonts w:ascii="仿宋" w:eastAsia="仿宋" w:hAnsi="仿宋" w:cs="仿宋"/>
              </w:rPr>
            </w:pPr>
            <w:r>
              <w:rPr>
                <w:rFonts w:ascii="仿宋" w:eastAsia="仿宋" w:hAnsi="仿宋" w:cs="仿宋" w:hint="eastAsia"/>
              </w:rPr>
              <w:t>单位</w:t>
            </w:r>
            <w:r>
              <w:rPr>
                <w:rFonts w:ascii="仿宋" w:eastAsia="仿宋" w:hAnsi="仿宋" w:cs="仿宋" w:hint="eastAsia"/>
              </w:rPr>
              <w:t>：万元</w:t>
            </w:r>
          </w:p>
        </w:tc>
      </w:tr>
      <w:tr w:rsidR="006E5555">
        <w:trPr>
          <w:cantSplit/>
          <w:trHeight w:val="196"/>
        </w:trPr>
        <w:tc>
          <w:tcPr>
            <w:tcW w:w="7947" w:type="dxa"/>
            <w:gridSpan w:val="2"/>
            <w:tcBorders>
              <w:top w:val="single" w:sz="4" w:space="0" w:color="000000"/>
              <w:left w:val="single" w:sz="4" w:space="0" w:color="000000"/>
              <w:bottom w:val="single" w:sz="4" w:space="0" w:color="000000"/>
            </w:tcBorders>
          </w:tcPr>
          <w:p w:rsidR="006E5555" w:rsidRDefault="00744F51">
            <w:pPr>
              <w:pStyle w:val="TableParagraph"/>
              <w:jc w:val="center"/>
              <w:rPr>
                <w:rFonts w:ascii="仿宋" w:eastAsia="仿宋" w:hAnsi="仿宋" w:cs="仿宋"/>
                <w:b/>
                <w:bCs/>
              </w:rPr>
            </w:pPr>
            <w:r>
              <w:rPr>
                <w:rFonts w:ascii="仿宋" w:eastAsia="仿宋" w:hAnsi="仿宋" w:cs="仿宋" w:hint="eastAsia"/>
                <w:b/>
                <w:bCs/>
              </w:rPr>
              <w:t>收</w:t>
            </w:r>
            <w:r>
              <w:rPr>
                <w:rFonts w:ascii="仿宋" w:eastAsia="仿宋" w:hAnsi="仿宋" w:cs="仿宋" w:hint="eastAsia"/>
                <w:b/>
                <w:bCs/>
              </w:rPr>
              <w:tab/>
            </w:r>
            <w:r>
              <w:rPr>
                <w:rFonts w:ascii="仿宋" w:eastAsia="仿宋" w:hAnsi="仿宋" w:cs="仿宋" w:hint="eastAsia"/>
                <w:b/>
                <w:bCs/>
              </w:rPr>
              <w:t>入</w:t>
            </w:r>
          </w:p>
        </w:tc>
        <w:tc>
          <w:tcPr>
            <w:tcW w:w="7842" w:type="dxa"/>
            <w:gridSpan w:val="2"/>
            <w:tcBorders>
              <w:top w:val="single" w:sz="4" w:space="0" w:color="000000"/>
              <w:left w:val="single" w:sz="4" w:space="0" w:color="000000"/>
              <w:bottom w:val="single" w:sz="4" w:space="0" w:color="000000"/>
              <w:right w:val="single" w:sz="4" w:space="0" w:color="000000"/>
            </w:tcBorders>
          </w:tcPr>
          <w:p w:rsidR="006E5555" w:rsidRDefault="00744F51">
            <w:pPr>
              <w:pStyle w:val="TableParagraph"/>
              <w:jc w:val="center"/>
              <w:rPr>
                <w:rFonts w:ascii="仿宋" w:eastAsia="仿宋" w:hAnsi="仿宋" w:cs="仿宋"/>
                <w:b/>
                <w:bCs/>
              </w:rPr>
            </w:pPr>
            <w:r>
              <w:rPr>
                <w:rFonts w:ascii="仿宋" w:eastAsia="仿宋" w:hAnsi="仿宋" w:cs="仿宋" w:hint="eastAsia"/>
                <w:b/>
                <w:bCs/>
              </w:rPr>
              <w:t>支</w:t>
            </w:r>
            <w:r>
              <w:rPr>
                <w:rFonts w:ascii="仿宋" w:eastAsia="仿宋" w:hAnsi="仿宋" w:cs="仿宋" w:hint="eastAsia"/>
                <w:b/>
                <w:bCs/>
              </w:rPr>
              <w:tab/>
            </w:r>
            <w:r>
              <w:rPr>
                <w:rFonts w:ascii="仿宋" w:eastAsia="仿宋" w:hAnsi="仿宋" w:cs="仿宋" w:hint="eastAsia"/>
                <w:b/>
                <w:bCs/>
              </w:rPr>
              <w:t>出</w:t>
            </w:r>
          </w:p>
        </w:tc>
      </w:tr>
      <w:tr w:rsidR="006E5555">
        <w:trPr>
          <w:cantSplit/>
          <w:trHeight w:val="468"/>
        </w:trPr>
        <w:tc>
          <w:tcPr>
            <w:tcW w:w="3987"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b/>
                <w:bCs/>
              </w:rPr>
            </w:pPr>
            <w:r>
              <w:rPr>
                <w:rFonts w:ascii="仿宋" w:eastAsia="仿宋" w:hAnsi="仿宋" w:cs="仿宋"/>
                <w:b/>
              </w:rPr>
              <w:t>项</w:t>
            </w:r>
            <w:r>
              <w:rPr>
                <w:rFonts w:ascii="仿宋" w:eastAsia="仿宋" w:hAnsi="仿宋" w:cs="仿宋" w:hint="eastAsia"/>
                <w:b/>
                <w:bCs/>
              </w:rPr>
              <w:tab/>
            </w:r>
            <w:r>
              <w:rPr>
                <w:rFonts w:ascii="仿宋" w:eastAsia="仿宋" w:hAnsi="仿宋" w:cs="仿宋" w:hint="eastAsia"/>
                <w:b/>
                <w:bCs/>
              </w:rPr>
              <w:t>目</w:t>
            </w:r>
          </w:p>
        </w:tc>
        <w:tc>
          <w:tcPr>
            <w:tcW w:w="3960"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b/>
                <w:bCs/>
              </w:rPr>
            </w:pPr>
            <w:r>
              <w:rPr>
                <w:rFonts w:ascii="仿宋" w:eastAsia="仿宋" w:hAnsi="仿宋" w:cs="仿宋" w:hint="eastAsia"/>
                <w:b/>
                <w:bCs/>
              </w:rPr>
              <w:t>预算</w:t>
            </w:r>
            <w:r>
              <w:rPr>
                <w:rFonts w:ascii="仿宋" w:eastAsia="仿宋" w:hAnsi="仿宋" w:cs="仿宋" w:hint="eastAsia"/>
                <w:b/>
                <w:bCs/>
              </w:rPr>
              <w:t>数</w:t>
            </w:r>
          </w:p>
        </w:tc>
        <w:tc>
          <w:tcPr>
            <w:tcW w:w="3943" w:type="dxa"/>
            <w:tcBorders>
              <w:left w:val="single" w:sz="4" w:space="0" w:color="000000"/>
              <w:bottom w:val="single" w:sz="4" w:space="0" w:color="000000"/>
            </w:tcBorders>
            <w:vAlign w:val="center"/>
          </w:tcPr>
          <w:p w:rsidR="006E5555" w:rsidRDefault="00744F51">
            <w:pPr>
              <w:jc w:val="center"/>
              <w:rPr>
                <w:rFonts w:ascii="仿宋" w:eastAsia="仿宋" w:hAnsi="仿宋" w:cs="仿宋"/>
                <w:b/>
                <w:bCs/>
              </w:rPr>
            </w:pPr>
            <w:r>
              <w:rPr>
                <w:rFonts w:ascii="仿宋" w:eastAsia="仿宋" w:hAnsi="仿宋" w:cs="仿宋" w:hint="eastAsia"/>
                <w:b/>
                <w:bCs/>
                <w:lang w:val="en-US"/>
              </w:rPr>
              <w:t>项目</w:t>
            </w:r>
          </w:p>
        </w:tc>
        <w:tc>
          <w:tcPr>
            <w:tcW w:w="3899" w:type="dxa"/>
            <w:tcBorders>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b/>
                <w:bCs/>
              </w:rPr>
            </w:pPr>
            <w:r>
              <w:rPr>
                <w:rFonts w:ascii="仿宋" w:eastAsia="仿宋" w:hAnsi="仿宋" w:cs="仿宋" w:hint="eastAsia"/>
                <w:b/>
                <w:bCs/>
              </w:rPr>
              <w:t>预算</w:t>
            </w:r>
            <w:r>
              <w:rPr>
                <w:rFonts w:ascii="仿宋" w:eastAsia="仿宋" w:hAnsi="仿宋" w:cs="仿宋" w:hint="eastAsia"/>
                <w:b/>
                <w:bCs/>
              </w:rPr>
              <w:t>数</w:t>
            </w: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一、本年收入</w:t>
            </w: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17,110.47</w:t>
            </w: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一、本年支出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17,110.47</w:t>
            </w: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（一）一般公共预算拨款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12,110.47</w:t>
            </w: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（一）一般公共服务支出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（二）政府性基金预算拨款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5,000.00</w:t>
            </w: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（二）外交支出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（三）国有资本经营预算拨款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（三）国防支出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二、上年结转</w:t>
            </w: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（四）公共安全支出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（一）一般公共预算拨款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（五）教育支出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（二）政府性基金预算拨款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（六）科学技术支出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（三）国有资本经营预算拨款</w:t>
            </w: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（七）文化旅游体育与传媒支出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（八）社会保障和就业支出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360.71</w:t>
            </w: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（九）社会保险基金支出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（十）卫生健康支出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114.98</w:t>
            </w: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（十一）节能环保支出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（十二）城乡社区支出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5,115.72</w:t>
            </w: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（十三）农林水支出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3,318.57</w:t>
            </w: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（十四）交通运输支出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（十五）资源勘探工业信息等支出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（十六）商业服务业等支出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（十七）金融支出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（十八）援助其他地区支出</w:t>
            </w:r>
            <w:r>
              <w:rPr>
                <w:rFonts w:ascii="仿宋" w:eastAsia="仿宋" w:hAnsi="仿宋" w:cs="仿宋" w:hint="eastAsia"/>
              </w:rPr>
              <w:t xml:space="preserve"> </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（十九）自然资源海洋气象等支出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7,490.73</w:t>
            </w: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（二十）住房保障支出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709.76</w:t>
            </w: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（二十一）粮油物资储备支出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（二十二）国有资本经营预算支出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（二十三）灾害防治及应急管理支出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（二十四）预备费</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（二十五）其他支出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（二十六）转移性支出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（二十七）债务还本支出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（二十八）债务付息支出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（二十九）债务发行费用支出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（三十）抗疫特别国债安排的支出</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val="249"/>
        </w:trPr>
        <w:tc>
          <w:tcPr>
            <w:tcW w:w="398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rPr>
                <w:rFonts w:ascii="仿宋" w:eastAsia="仿宋" w:hAnsi="仿宋" w:cs="仿宋"/>
              </w:rPr>
            </w:pPr>
          </w:p>
        </w:tc>
        <w:tc>
          <w:tcPr>
            <w:tcW w:w="396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394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二、年终结转结余</w:t>
            </w:r>
          </w:p>
        </w:tc>
        <w:tc>
          <w:tcPr>
            <w:tcW w:w="3899"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lang w:val="en-US"/>
              </w:rPr>
            </w:pPr>
          </w:p>
        </w:tc>
      </w:tr>
      <w:tr w:rsidR="006E5555">
        <w:trPr>
          <w:cantSplit/>
          <w:trHeight w:hRule="exact" w:val="296"/>
        </w:trPr>
        <w:tc>
          <w:tcPr>
            <w:tcW w:w="3987"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b/>
                <w:bCs/>
                <w:lang w:val="en-US"/>
              </w:rPr>
              <w:t>收入</w:t>
            </w:r>
            <w:r>
              <w:rPr>
                <w:rFonts w:ascii="仿宋" w:eastAsia="仿宋" w:hAnsi="仿宋" w:cs="仿宋" w:hint="eastAsia"/>
                <w:b/>
                <w:bCs/>
              </w:rPr>
              <w:t>总计</w:t>
            </w:r>
          </w:p>
        </w:tc>
        <w:tc>
          <w:tcPr>
            <w:tcW w:w="3960" w:type="dxa"/>
            <w:tcBorders>
              <w:left w:val="single" w:sz="4" w:space="0" w:color="000000"/>
              <w:bottom w:val="single" w:sz="4" w:space="0" w:color="000000"/>
            </w:tcBorders>
            <w:vAlign w:val="center"/>
          </w:tcPr>
          <w:p w:rsidR="006E5555" w:rsidRDefault="00744F51">
            <w:pPr>
              <w:jc w:val="right"/>
              <w:rPr>
                <w:rFonts w:ascii="仿宋" w:eastAsia="仿宋" w:hAnsi="仿宋" w:cs="仿宋"/>
              </w:rPr>
            </w:pPr>
            <w:r>
              <w:rPr>
                <w:rFonts w:ascii="仿宋" w:eastAsia="仿宋" w:hAnsi="仿宋" w:cs="仿宋" w:hint="eastAsia"/>
              </w:rPr>
              <w:t>17,110.47</w:t>
            </w:r>
          </w:p>
        </w:tc>
        <w:tc>
          <w:tcPr>
            <w:tcW w:w="3943"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b/>
                <w:bCs/>
                <w:lang w:val="en-US"/>
              </w:rPr>
              <w:t>支出</w:t>
            </w:r>
            <w:r>
              <w:rPr>
                <w:rFonts w:ascii="仿宋" w:eastAsia="仿宋" w:hAnsi="仿宋" w:cs="仿宋" w:hint="eastAsia"/>
                <w:b/>
                <w:bCs/>
              </w:rPr>
              <w:t>总计</w:t>
            </w:r>
          </w:p>
        </w:tc>
        <w:tc>
          <w:tcPr>
            <w:tcW w:w="3899" w:type="dxa"/>
            <w:tcBorders>
              <w:left w:val="single" w:sz="4" w:space="0" w:color="000000"/>
              <w:bottom w:val="single" w:sz="4" w:space="0" w:color="000000"/>
              <w:right w:val="single" w:sz="4" w:space="0" w:color="000000"/>
            </w:tcBorders>
            <w:vAlign w:val="center"/>
          </w:tcPr>
          <w:p w:rsidR="006E5555" w:rsidRDefault="00744F51">
            <w:pPr>
              <w:jc w:val="right"/>
              <w:rPr>
                <w:rFonts w:ascii="仿宋" w:eastAsia="仿宋" w:hAnsi="仿宋" w:cs="仿宋"/>
              </w:rPr>
            </w:pPr>
            <w:r>
              <w:rPr>
                <w:rFonts w:ascii="仿宋" w:eastAsia="仿宋" w:hAnsi="仿宋" w:cs="仿宋" w:hint="eastAsia"/>
              </w:rPr>
              <w:t>17,110.47</w:t>
            </w:r>
          </w:p>
        </w:tc>
      </w:tr>
    </w:tbl>
    <w:p w:rsidR="006E5555" w:rsidRDefault="006E5555">
      <w:pPr>
        <w:ind w:leftChars="-100" w:left="-220"/>
        <w:rPr>
          <w:rFonts w:ascii="仿宋" w:eastAsia="仿宋" w:hAnsi="仿宋" w:cs="仿宋"/>
          <w:b/>
          <w:bCs/>
        </w:rPr>
        <w:sectPr w:rsidR="006E5555">
          <w:footerReference w:type="default" r:id="rId15"/>
          <w:pgSz w:w="16838" w:h="11906" w:orient="landscape"/>
          <w:pgMar w:top="720" w:right="720" w:bottom="720" w:left="720" w:header="170" w:footer="280" w:gutter="0"/>
          <w:pgNumType w:fmt="numberInDash"/>
          <w:cols w:space="720"/>
          <w:formProt w:val="0"/>
          <w:docGrid w:linePitch="100"/>
        </w:sectPr>
      </w:pPr>
    </w:p>
    <w:tbl>
      <w:tblPr>
        <w:tblW w:w="15216" w:type="dxa"/>
        <w:tblInd w:w="175" w:type="dxa"/>
        <w:tblLayout w:type="fixed"/>
        <w:tblCellMar>
          <w:top w:w="55" w:type="dxa"/>
          <w:left w:w="55" w:type="dxa"/>
          <w:bottom w:w="55" w:type="dxa"/>
          <w:right w:w="55" w:type="dxa"/>
        </w:tblCellMar>
        <w:tblLook w:val="04A0" w:firstRow="1" w:lastRow="0" w:firstColumn="1" w:lastColumn="0" w:noHBand="0" w:noVBand="1"/>
      </w:tblPr>
      <w:tblGrid>
        <w:gridCol w:w="1846"/>
        <w:gridCol w:w="4213"/>
        <w:gridCol w:w="2040"/>
        <w:gridCol w:w="1827"/>
        <w:gridCol w:w="1813"/>
        <w:gridCol w:w="1813"/>
        <w:gridCol w:w="1664"/>
      </w:tblGrid>
      <w:tr w:rsidR="006E5555">
        <w:trPr>
          <w:cantSplit/>
          <w:trHeight w:val="321"/>
        </w:trPr>
        <w:tc>
          <w:tcPr>
            <w:tcW w:w="15216" w:type="dxa"/>
            <w:gridSpan w:val="7"/>
            <w:vAlign w:val="center"/>
          </w:tcPr>
          <w:p w:rsidR="006E5555" w:rsidRDefault="00744F51">
            <w:pPr>
              <w:pStyle w:val="TableParagraph"/>
              <w:spacing w:after="34" w:line="34" w:lineRule="atLeast"/>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05</w:t>
            </w:r>
            <w:r>
              <w:rPr>
                <w:rFonts w:ascii="仿宋" w:eastAsia="仿宋" w:hAnsi="仿宋" w:cs="仿宋" w:hint="eastAsia"/>
              </w:rPr>
              <w:t>表</w:t>
            </w:r>
          </w:p>
        </w:tc>
      </w:tr>
      <w:tr w:rsidR="006E5555">
        <w:trPr>
          <w:cantSplit/>
          <w:trHeight w:val="321"/>
        </w:trPr>
        <w:tc>
          <w:tcPr>
            <w:tcW w:w="15216" w:type="dxa"/>
            <w:gridSpan w:val="7"/>
          </w:tcPr>
          <w:p w:rsidR="006E5555" w:rsidRDefault="00744F51">
            <w:pPr>
              <w:pStyle w:val="TableParagraph"/>
              <w:spacing w:after="34" w:line="34" w:lineRule="atLeast"/>
              <w:jc w:val="center"/>
              <w:rPr>
                <w:rFonts w:ascii="仿宋" w:eastAsia="仿宋" w:hAnsi="仿宋" w:cs="仿宋"/>
                <w:sz w:val="27"/>
              </w:rPr>
            </w:pPr>
            <w:r>
              <w:rPr>
                <w:rFonts w:ascii="仿宋" w:eastAsia="仿宋" w:hAnsi="仿宋" w:cs="仿宋" w:hint="eastAsia"/>
                <w:b/>
                <w:bCs/>
                <w:sz w:val="44"/>
                <w:szCs w:val="44"/>
              </w:rPr>
              <w:t>财政拨款支出表（功能科目）</w:t>
            </w:r>
          </w:p>
        </w:tc>
      </w:tr>
      <w:tr w:rsidR="006E5555">
        <w:trPr>
          <w:cantSplit/>
          <w:trHeight w:val="309"/>
        </w:trPr>
        <w:tc>
          <w:tcPr>
            <w:tcW w:w="13552" w:type="dxa"/>
            <w:gridSpan w:val="6"/>
          </w:tcPr>
          <w:p w:rsidR="006E5555" w:rsidRDefault="00744F51">
            <w:pPr>
              <w:pStyle w:val="TableParagraph"/>
              <w:spacing w:after="34" w:line="34" w:lineRule="atLeast"/>
              <w:rPr>
                <w:rFonts w:ascii="仿宋" w:eastAsia="仿宋" w:hAnsi="仿宋" w:cs="仿宋"/>
                <w:sz w:val="27"/>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1664" w:type="dxa"/>
            <w:vAlign w:val="center"/>
          </w:tcPr>
          <w:p w:rsidR="006E5555" w:rsidRDefault="00744F51">
            <w:pPr>
              <w:pStyle w:val="TableParagraph"/>
              <w:spacing w:after="34" w:line="34" w:lineRule="atLeast"/>
              <w:jc w:val="right"/>
              <w:rPr>
                <w:rFonts w:ascii="仿宋" w:eastAsia="仿宋" w:hAnsi="仿宋" w:cs="仿宋"/>
                <w:sz w:val="27"/>
              </w:rPr>
            </w:pPr>
            <w:r>
              <w:rPr>
                <w:rFonts w:ascii="仿宋" w:eastAsia="仿宋" w:hAnsi="仿宋" w:cs="仿宋" w:hint="eastAsia"/>
              </w:rPr>
              <w:t>单位</w:t>
            </w:r>
            <w:r>
              <w:rPr>
                <w:rFonts w:ascii="仿宋" w:eastAsia="仿宋" w:hAnsi="仿宋" w:cs="仿宋" w:hint="eastAsia"/>
              </w:rPr>
              <w:t>：万元</w:t>
            </w:r>
          </w:p>
        </w:tc>
      </w:tr>
      <w:tr w:rsidR="006E5555">
        <w:trPr>
          <w:cantSplit/>
          <w:trHeight w:val="319"/>
        </w:trPr>
        <w:tc>
          <w:tcPr>
            <w:tcW w:w="1846" w:type="dxa"/>
            <w:vMerge w:val="restart"/>
            <w:tcBorders>
              <w:top w:val="single" w:sz="6" w:space="0" w:color="000000"/>
              <w:left w:val="single" w:sz="6"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科目编码</w:t>
            </w:r>
          </w:p>
        </w:tc>
        <w:tc>
          <w:tcPr>
            <w:tcW w:w="4213" w:type="dxa"/>
            <w:vMerge w:val="restart"/>
            <w:tcBorders>
              <w:top w:val="single" w:sz="6" w:space="0" w:color="000000"/>
              <w:left w:val="single" w:sz="6"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科目名称</w:t>
            </w:r>
          </w:p>
        </w:tc>
        <w:tc>
          <w:tcPr>
            <w:tcW w:w="2040" w:type="dxa"/>
            <w:vMerge w:val="restart"/>
            <w:tcBorders>
              <w:top w:val="single" w:sz="6" w:space="0" w:color="000000"/>
              <w:left w:val="single" w:sz="6"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合计</w:t>
            </w:r>
          </w:p>
        </w:tc>
        <w:tc>
          <w:tcPr>
            <w:tcW w:w="5453" w:type="dxa"/>
            <w:gridSpan w:val="3"/>
            <w:tcBorders>
              <w:top w:val="single" w:sz="6" w:space="0" w:color="000000"/>
              <w:left w:val="single" w:sz="6" w:space="0" w:color="000000"/>
              <w:bottom w:val="single" w:sz="6"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基本支出</w:t>
            </w:r>
          </w:p>
        </w:tc>
        <w:tc>
          <w:tcPr>
            <w:tcW w:w="1664" w:type="dxa"/>
            <w:vMerge w:val="restart"/>
            <w:tcBorders>
              <w:top w:val="single" w:sz="6" w:space="0" w:color="000000"/>
              <w:left w:val="single" w:sz="6" w:space="0" w:color="000000"/>
              <w:right w:val="single" w:sz="6"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项目支出</w:t>
            </w:r>
          </w:p>
        </w:tc>
      </w:tr>
      <w:tr w:rsidR="006E5555">
        <w:trPr>
          <w:cantSplit/>
          <w:trHeight w:val="296"/>
        </w:trPr>
        <w:tc>
          <w:tcPr>
            <w:tcW w:w="1846" w:type="dxa"/>
            <w:vMerge/>
            <w:tcBorders>
              <w:left w:val="single" w:sz="6" w:space="0" w:color="000000"/>
              <w:bottom w:val="single" w:sz="6" w:space="0" w:color="000000"/>
            </w:tcBorders>
            <w:vAlign w:val="center"/>
          </w:tcPr>
          <w:p w:rsidR="006E5555" w:rsidRDefault="006E5555">
            <w:pPr>
              <w:pStyle w:val="TableParagraph"/>
              <w:spacing w:after="34" w:line="34" w:lineRule="atLeast"/>
              <w:jc w:val="center"/>
              <w:rPr>
                <w:rFonts w:ascii="仿宋" w:eastAsia="仿宋" w:hAnsi="仿宋" w:cs="仿宋"/>
              </w:rPr>
            </w:pPr>
          </w:p>
        </w:tc>
        <w:tc>
          <w:tcPr>
            <w:tcW w:w="4213" w:type="dxa"/>
            <w:vMerge/>
            <w:tcBorders>
              <w:left w:val="single" w:sz="6" w:space="0" w:color="000000"/>
              <w:bottom w:val="single" w:sz="6" w:space="0" w:color="000000"/>
            </w:tcBorders>
            <w:vAlign w:val="center"/>
          </w:tcPr>
          <w:p w:rsidR="006E5555" w:rsidRDefault="006E5555">
            <w:pPr>
              <w:pStyle w:val="TableParagraph"/>
              <w:spacing w:after="34" w:line="34" w:lineRule="atLeast"/>
              <w:jc w:val="center"/>
              <w:rPr>
                <w:rFonts w:ascii="仿宋" w:eastAsia="仿宋" w:hAnsi="仿宋" w:cs="仿宋"/>
              </w:rPr>
            </w:pPr>
          </w:p>
        </w:tc>
        <w:tc>
          <w:tcPr>
            <w:tcW w:w="2040" w:type="dxa"/>
            <w:vMerge/>
            <w:tcBorders>
              <w:left w:val="single" w:sz="6" w:space="0" w:color="000000"/>
              <w:bottom w:val="single" w:sz="6" w:space="0" w:color="000000"/>
            </w:tcBorders>
          </w:tcPr>
          <w:p w:rsidR="006E5555" w:rsidRDefault="006E5555">
            <w:pPr>
              <w:spacing w:after="34" w:line="34" w:lineRule="atLeast"/>
              <w:rPr>
                <w:rFonts w:ascii="仿宋" w:eastAsia="仿宋" w:hAnsi="仿宋" w:cs="仿宋"/>
              </w:rPr>
            </w:pPr>
          </w:p>
        </w:tc>
        <w:tc>
          <w:tcPr>
            <w:tcW w:w="1827" w:type="dxa"/>
            <w:tcBorders>
              <w:left w:val="single" w:sz="6" w:space="0" w:color="000000"/>
              <w:bottom w:val="single" w:sz="6" w:space="0" w:color="000000"/>
            </w:tcBorders>
            <w:vAlign w:val="center"/>
          </w:tcPr>
          <w:p w:rsidR="006E5555" w:rsidRDefault="00744F51">
            <w:pPr>
              <w:widowControl/>
              <w:spacing w:after="34" w:line="34" w:lineRule="atLeast"/>
              <w:jc w:val="center"/>
              <w:rPr>
                <w:rFonts w:ascii="仿宋" w:eastAsia="仿宋" w:hAnsi="仿宋" w:cs="仿宋"/>
                <w:lang w:val="en-US"/>
              </w:rPr>
            </w:pPr>
            <w:r>
              <w:rPr>
                <w:rFonts w:ascii="仿宋" w:eastAsia="仿宋" w:hAnsi="仿宋" w:cs="仿宋" w:hint="eastAsia"/>
                <w:lang w:val="en-US"/>
              </w:rPr>
              <w:t>小计</w:t>
            </w:r>
          </w:p>
        </w:tc>
        <w:tc>
          <w:tcPr>
            <w:tcW w:w="1813" w:type="dxa"/>
            <w:tcBorders>
              <w:left w:val="single" w:sz="6" w:space="0" w:color="000000"/>
              <w:bottom w:val="single" w:sz="6" w:space="0" w:color="000000"/>
            </w:tcBorders>
            <w:vAlign w:val="center"/>
          </w:tcPr>
          <w:p w:rsidR="006E5555" w:rsidRDefault="00744F51">
            <w:pPr>
              <w:widowControl/>
              <w:spacing w:after="34" w:line="34" w:lineRule="atLeast"/>
              <w:jc w:val="center"/>
              <w:rPr>
                <w:rFonts w:ascii="仿宋" w:eastAsia="仿宋" w:hAnsi="仿宋" w:cs="仿宋"/>
              </w:rPr>
            </w:pPr>
            <w:r>
              <w:rPr>
                <w:rFonts w:ascii="仿宋" w:eastAsia="仿宋" w:hAnsi="仿宋" w:cs="仿宋" w:hint="eastAsia"/>
                <w:lang w:val="en-US"/>
              </w:rPr>
              <w:t>人员经费</w:t>
            </w:r>
          </w:p>
        </w:tc>
        <w:tc>
          <w:tcPr>
            <w:tcW w:w="1813" w:type="dxa"/>
            <w:tcBorders>
              <w:left w:val="single" w:sz="6" w:space="0" w:color="000000"/>
              <w:bottom w:val="single" w:sz="6" w:space="0" w:color="000000"/>
            </w:tcBorders>
            <w:vAlign w:val="center"/>
          </w:tcPr>
          <w:p w:rsidR="006E5555" w:rsidRDefault="00744F51">
            <w:pPr>
              <w:widowControl/>
              <w:spacing w:after="34" w:line="34" w:lineRule="atLeast"/>
              <w:jc w:val="center"/>
              <w:rPr>
                <w:rFonts w:ascii="仿宋" w:eastAsia="仿宋" w:hAnsi="仿宋" w:cs="仿宋"/>
              </w:rPr>
            </w:pPr>
            <w:r>
              <w:rPr>
                <w:rFonts w:ascii="仿宋" w:eastAsia="仿宋" w:hAnsi="仿宋" w:cs="仿宋" w:hint="eastAsia"/>
                <w:lang w:val="en-US"/>
              </w:rPr>
              <w:t>公用经费</w:t>
            </w:r>
          </w:p>
        </w:tc>
        <w:tc>
          <w:tcPr>
            <w:tcW w:w="1664" w:type="dxa"/>
            <w:vMerge/>
            <w:tcBorders>
              <w:left w:val="single" w:sz="6" w:space="0" w:color="000000"/>
              <w:bottom w:val="single" w:sz="6" w:space="0" w:color="000000"/>
              <w:right w:val="single" w:sz="6" w:space="0" w:color="000000"/>
            </w:tcBorders>
          </w:tcPr>
          <w:p w:rsidR="006E5555" w:rsidRDefault="006E5555">
            <w:pPr>
              <w:spacing w:after="34" w:line="34" w:lineRule="atLeast"/>
              <w:rPr>
                <w:rFonts w:ascii="仿宋" w:eastAsia="仿宋" w:hAnsi="仿宋" w:cs="仿宋"/>
              </w:rPr>
            </w:pPr>
          </w:p>
        </w:tc>
      </w:tr>
      <w:tr w:rsidR="006E5555">
        <w:trPr>
          <w:cantSplit/>
          <w:trHeight w:hRule="exact" w:val="350"/>
        </w:trPr>
        <w:tc>
          <w:tcPr>
            <w:tcW w:w="6059" w:type="dxa"/>
            <w:gridSpan w:val="2"/>
            <w:tcBorders>
              <w:left w:val="single" w:sz="6" w:space="0" w:color="000000"/>
              <w:bottom w:val="single" w:sz="6" w:space="0" w:color="000000"/>
            </w:tcBorders>
            <w:vAlign w:val="center"/>
          </w:tcPr>
          <w:p w:rsidR="006E5555" w:rsidRDefault="00744F51">
            <w:pPr>
              <w:pStyle w:val="TableParagraph"/>
              <w:spacing w:after="34" w:line="34" w:lineRule="atLeast"/>
              <w:jc w:val="center"/>
              <w:rPr>
                <w:rFonts w:ascii="仿宋" w:eastAsia="仿宋" w:hAnsi="仿宋" w:cs="仿宋"/>
              </w:rPr>
            </w:pPr>
            <w:r>
              <w:rPr>
                <w:rFonts w:ascii="仿宋" w:eastAsia="仿宋" w:hAnsi="仿宋" w:cs="仿宋" w:hint="eastAsia"/>
              </w:rPr>
              <w:t>合计</w:t>
            </w:r>
          </w:p>
        </w:tc>
        <w:tc>
          <w:tcPr>
            <w:tcW w:w="2040" w:type="dxa"/>
            <w:tcBorders>
              <w:left w:val="single" w:sz="6" w:space="0" w:color="000000"/>
              <w:bottom w:val="single" w:sz="6" w:space="0" w:color="000000"/>
            </w:tcBorders>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17,110.47</w:t>
            </w:r>
          </w:p>
        </w:tc>
        <w:tc>
          <w:tcPr>
            <w:tcW w:w="1827" w:type="dxa"/>
            <w:tcBorders>
              <w:left w:val="single" w:sz="6" w:space="0" w:color="000000"/>
              <w:bottom w:val="single" w:sz="6" w:space="0" w:color="000000"/>
            </w:tcBorders>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3,175.77</w:t>
            </w:r>
          </w:p>
        </w:tc>
        <w:tc>
          <w:tcPr>
            <w:tcW w:w="1813" w:type="dxa"/>
            <w:tcBorders>
              <w:left w:val="single" w:sz="6" w:space="0" w:color="000000"/>
              <w:bottom w:val="single" w:sz="6" w:space="0" w:color="000000"/>
            </w:tcBorders>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2,993.46</w:t>
            </w:r>
          </w:p>
        </w:tc>
        <w:tc>
          <w:tcPr>
            <w:tcW w:w="1813" w:type="dxa"/>
            <w:tcBorders>
              <w:left w:val="single" w:sz="6" w:space="0" w:color="000000"/>
              <w:bottom w:val="single" w:sz="6" w:space="0" w:color="000000"/>
            </w:tcBorders>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182.31</w:t>
            </w:r>
          </w:p>
        </w:tc>
        <w:tc>
          <w:tcPr>
            <w:tcW w:w="1664" w:type="dxa"/>
            <w:tcBorders>
              <w:left w:val="single" w:sz="6" w:space="0" w:color="000000"/>
              <w:bottom w:val="single" w:sz="6" w:space="0" w:color="000000"/>
              <w:right w:val="single" w:sz="6" w:space="0" w:color="000000"/>
            </w:tcBorders>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13,934.70</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208</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社会保障和就业支出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360.71</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360.71</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360.71</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20805</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行政事业单位养老支出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360.71</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360.71</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360.71</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2080505</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机关事业单位基本养老保险缴费支出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240.47</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240.47</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240.47</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2080506</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机关事业单位职业年金缴费支出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120.24</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120.24</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120.24</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210</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卫生健康支出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21011</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行政事业单位医疗</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2101101</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行政单位医疗</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114.98</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212</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城乡社区支出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5,115.72</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5,115.72</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21202</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城乡社区规划与管理</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115.72</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115.72</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2120201</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城乡社区规划与管理</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115.72</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115.72</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21208</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国有土地使用权出让收入安排的支出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5,000.00</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5,000.00</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2120814</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农业生产发展支出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3,500.00</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3,500.00</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2120816</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农业农村生态环境支出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1,500.00</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1,500.00</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213</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农林水支出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3,318.57</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3,318.57</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21302</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林业和草原</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3,318.57</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3,318.57</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2130299</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其他林业和草原支出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3,318.57</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3,318.57</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220</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自然资源海洋气象等支出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7,490.73</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1,990.32</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1,808.01</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182.31</w:t>
            </w: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5,500.41</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lastRenderedPageBreak/>
              <w:t xml:space="preserve">  22001</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自然资源事务</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7,490.73</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1,990.32</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1,808.01</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182.31</w:t>
            </w: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5,500.41</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2200101</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行政运行</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1,990.32</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1,990.32</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1,808.01</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182.31</w:t>
            </w: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2200108</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自然资源行业业务管理</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2,273.52</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2,273.52</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2200199</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其他自然资源事务支出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3,226.89</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3,226.89</w:t>
            </w: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221</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住房保障支出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709.76</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709.76</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709.76</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22102</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住房改革支出</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709.76</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709.76</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709.76</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2210201</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住房公积金</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224.15</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224.15</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224.15</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2210202</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提租补贴</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286.58</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286.58</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286.58</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r w:rsidR="006E5555">
        <w:trPr>
          <w:cantSplit/>
          <w:trHeight w:val="296"/>
        </w:trPr>
        <w:tc>
          <w:tcPr>
            <w:tcW w:w="1846"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 xml:space="preserve">    2210203</w:t>
            </w:r>
          </w:p>
        </w:tc>
        <w:tc>
          <w:tcPr>
            <w:tcW w:w="42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rPr>
                <w:rFonts w:ascii="仿宋" w:eastAsia="仿宋" w:hAnsi="仿宋" w:cs="仿宋"/>
              </w:rPr>
            </w:pPr>
            <w:r>
              <w:rPr>
                <w:rFonts w:ascii="仿宋" w:eastAsia="仿宋" w:hAnsi="仿宋" w:cs="仿宋" w:hint="eastAsia"/>
              </w:rPr>
              <w:t>购房补贴</w:t>
            </w:r>
          </w:p>
        </w:tc>
        <w:tc>
          <w:tcPr>
            <w:tcW w:w="204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199.03</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199.03</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spacing w:after="34" w:line="34" w:lineRule="atLeast"/>
              <w:jc w:val="right"/>
              <w:rPr>
                <w:rFonts w:ascii="仿宋" w:eastAsia="仿宋" w:hAnsi="仿宋" w:cs="仿宋"/>
              </w:rPr>
            </w:pPr>
            <w:r>
              <w:rPr>
                <w:rFonts w:ascii="仿宋" w:eastAsia="仿宋" w:hAnsi="仿宋" w:cs="仿宋" w:hint="eastAsia"/>
              </w:rPr>
              <w:t>199.03</w:t>
            </w:r>
          </w:p>
        </w:tc>
        <w:tc>
          <w:tcPr>
            <w:tcW w:w="181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spacing w:after="34" w:line="34" w:lineRule="atLeast"/>
              <w:jc w:val="right"/>
              <w:rPr>
                <w:rFonts w:ascii="仿宋" w:eastAsia="仿宋" w:hAnsi="仿宋" w:cs="仿宋"/>
              </w:rPr>
            </w:pPr>
          </w:p>
        </w:tc>
        <w:tc>
          <w:tcPr>
            <w:tcW w:w="1664"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spacing w:after="34" w:line="34" w:lineRule="atLeast"/>
              <w:jc w:val="right"/>
              <w:rPr>
                <w:rFonts w:ascii="仿宋" w:eastAsia="仿宋" w:hAnsi="仿宋" w:cs="仿宋"/>
              </w:rPr>
            </w:pPr>
          </w:p>
        </w:tc>
      </w:tr>
    </w:tbl>
    <w:p w:rsidR="006E5555" w:rsidRDefault="006E5555">
      <w:pPr>
        <w:tabs>
          <w:tab w:val="left" w:pos="55"/>
        </w:tabs>
        <w:jc w:val="both"/>
        <w:rPr>
          <w:rFonts w:ascii="仿宋" w:eastAsia="仿宋" w:hAnsi="仿宋" w:cs="仿宋"/>
          <w:b/>
          <w:bCs/>
        </w:rPr>
        <w:sectPr w:rsidR="006E5555">
          <w:footerReference w:type="default" r:id="rId16"/>
          <w:pgSz w:w="16838" w:h="11906" w:orient="landscape"/>
          <w:pgMar w:top="720" w:right="720" w:bottom="720" w:left="720" w:header="170" w:footer="280" w:gutter="0"/>
          <w:pgNumType w:fmt="numberInDash"/>
          <w:cols w:space="720"/>
          <w:formProt w:val="0"/>
          <w:docGrid w:linePitch="100"/>
        </w:sectPr>
      </w:pPr>
    </w:p>
    <w:p w:rsidR="006E5555" w:rsidRDefault="006E5555">
      <w:pPr>
        <w:rPr>
          <w:rFonts w:ascii="仿宋" w:eastAsia="仿宋" w:hAnsi="仿宋" w:cs="仿宋"/>
          <w:sz w:val="20"/>
        </w:rPr>
      </w:pPr>
    </w:p>
    <w:tbl>
      <w:tblPr>
        <w:tblW w:w="10817" w:type="dxa"/>
        <w:tblInd w:w="-103" w:type="dxa"/>
        <w:tblLayout w:type="fixed"/>
        <w:tblCellMar>
          <w:top w:w="55" w:type="dxa"/>
          <w:left w:w="55" w:type="dxa"/>
          <w:bottom w:w="55" w:type="dxa"/>
          <w:right w:w="55" w:type="dxa"/>
        </w:tblCellMar>
        <w:tblLook w:val="04A0" w:firstRow="1" w:lastRow="0" w:firstColumn="1" w:lastColumn="0" w:noHBand="0" w:noVBand="1"/>
      </w:tblPr>
      <w:tblGrid>
        <w:gridCol w:w="1131"/>
        <w:gridCol w:w="3542"/>
        <w:gridCol w:w="2047"/>
        <w:gridCol w:w="2040"/>
        <w:gridCol w:w="2057"/>
      </w:tblGrid>
      <w:tr w:rsidR="006E5555">
        <w:trPr>
          <w:cantSplit/>
          <w:trHeight w:val="319"/>
        </w:trPr>
        <w:tc>
          <w:tcPr>
            <w:tcW w:w="10817" w:type="dxa"/>
            <w:gridSpan w:val="5"/>
            <w:vAlign w:val="center"/>
          </w:tcPr>
          <w:p w:rsidR="006E5555" w:rsidRDefault="00744F51">
            <w:pPr>
              <w:pStyle w:val="TableParagraph"/>
              <w:rPr>
                <w:rFonts w:ascii="仿宋" w:eastAsia="仿宋" w:hAnsi="仿宋" w:cs="仿宋"/>
                <w:b/>
                <w:bCs/>
                <w:sz w:val="44"/>
                <w:szCs w:val="44"/>
              </w:rPr>
            </w:pPr>
            <w:r>
              <w:rPr>
                <w:rFonts w:ascii="仿宋" w:eastAsia="仿宋" w:hAnsi="仿宋" w:cs="仿宋" w:hint="eastAsia"/>
              </w:rPr>
              <w:t>公开</w:t>
            </w:r>
            <w:r>
              <w:rPr>
                <w:rFonts w:ascii="仿宋" w:eastAsia="仿宋" w:hAnsi="仿宋" w:cs="仿宋" w:hint="eastAsia"/>
              </w:rPr>
              <w:t>06</w:t>
            </w:r>
            <w:r>
              <w:rPr>
                <w:rFonts w:ascii="仿宋" w:eastAsia="仿宋" w:hAnsi="仿宋" w:cs="仿宋" w:hint="eastAsia"/>
              </w:rPr>
              <w:t>表</w:t>
            </w:r>
          </w:p>
        </w:tc>
      </w:tr>
      <w:tr w:rsidR="006E5555">
        <w:trPr>
          <w:cantSplit/>
          <w:trHeight w:val="319"/>
        </w:trPr>
        <w:tc>
          <w:tcPr>
            <w:tcW w:w="10817" w:type="dxa"/>
            <w:gridSpan w:val="5"/>
          </w:tcPr>
          <w:p w:rsidR="006E5555" w:rsidRDefault="00744F51">
            <w:pPr>
              <w:pStyle w:val="TableParagraph"/>
              <w:jc w:val="center"/>
              <w:rPr>
                <w:rFonts w:ascii="仿宋" w:eastAsia="仿宋" w:hAnsi="仿宋" w:cs="仿宋"/>
                <w:sz w:val="20"/>
              </w:rPr>
            </w:pPr>
            <w:r>
              <w:rPr>
                <w:rFonts w:ascii="仿宋" w:eastAsia="仿宋" w:hAnsi="仿宋" w:cs="仿宋" w:hint="eastAsia"/>
                <w:b/>
                <w:bCs/>
                <w:sz w:val="44"/>
                <w:szCs w:val="44"/>
              </w:rPr>
              <w:t>财政拨款基本支出表（经济科目）</w:t>
            </w:r>
          </w:p>
        </w:tc>
      </w:tr>
      <w:tr w:rsidR="006E5555">
        <w:trPr>
          <w:cantSplit/>
          <w:trHeight w:val="319"/>
        </w:trPr>
        <w:tc>
          <w:tcPr>
            <w:tcW w:w="8760" w:type="dxa"/>
            <w:gridSpan w:val="4"/>
          </w:tcPr>
          <w:p w:rsidR="006E5555" w:rsidRDefault="00744F5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2057" w:type="dxa"/>
            <w:vAlign w:val="center"/>
          </w:tcPr>
          <w:p w:rsidR="006E5555" w:rsidRDefault="00744F51">
            <w:pPr>
              <w:pStyle w:val="TableParagraph"/>
              <w:jc w:val="right"/>
              <w:rPr>
                <w:rFonts w:ascii="仿宋" w:eastAsia="仿宋" w:hAnsi="仿宋" w:cs="仿宋"/>
                <w:sz w:val="20"/>
              </w:rPr>
            </w:pPr>
            <w:r>
              <w:rPr>
                <w:rFonts w:ascii="仿宋" w:eastAsia="仿宋" w:hAnsi="仿宋" w:cs="仿宋" w:hint="eastAsia"/>
              </w:rPr>
              <w:t>单位</w:t>
            </w:r>
            <w:r>
              <w:rPr>
                <w:rFonts w:ascii="仿宋" w:eastAsia="仿宋" w:hAnsi="仿宋" w:cs="仿宋" w:hint="eastAsia"/>
              </w:rPr>
              <w:t>：万元</w:t>
            </w:r>
          </w:p>
        </w:tc>
      </w:tr>
      <w:tr w:rsidR="006E5555">
        <w:trPr>
          <w:cantSplit/>
          <w:trHeight w:val="243"/>
        </w:trPr>
        <w:tc>
          <w:tcPr>
            <w:tcW w:w="4673" w:type="dxa"/>
            <w:gridSpan w:val="2"/>
            <w:tcBorders>
              <w:top w:val="single" w:sz="4" w:space="0" w:color="000000"/>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部门预算支出经济分类科目</w:t>
            </w:r>
          </w:p>
        </w:tc>
        <w:tc>
          <w:tcPr>
            <w:tcW w:w="6144" w:type="dxa"/>
            <w:gridSpan w:val="3"/>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center"/>
              <w:rPr>
                <w:rFonts w:ascii="仿宋" w:eastAsia="仿宋" w:hAnsi="仿宋" w:cs="仿宋"/>
                <w:sz w:val="20"/>
              </w:rPr>
            </w:pPr>
            <w:r>
              <w:rPr>
                <w:rFonts w:ascii="仿宋" w:eastAsia="仿宋" w:hAnsi="仿宋" w:cs="仿宋" w:hint="eastAsia"/>
              </w:rPr>
              <w:t>本年财政拨款基本支出</w:t>
            </w:r>
          </w:p>
        </w:tc>
      </w:tr>
      <w:tr w:rsidR="006E5555">
        <w:trPr>
          <w:cantSplit/>
          <w:trHeight w:val="267"/>
        </w:trPr>
        <w:tc>
          <w:tcPr>
            <w:tcW w:w="1131"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科目编码</w:t>
            </w:r>
          </w:p>
        </w:tc>
        <w:tc>
          <w:tcPr>
            <w:tcW w:w="3542"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科目名称</w:t>
            </w:r>
          </w:p>
        </w:tc>
        <w:tc>
          <w:tcPr>
            <w:tcW w:w="2047"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合计</w:t>
            </w:r>
          </w:p>
        </w:tc>
        <w:tc>
          <w:tcPr>
            <w:tcW w:w="2040"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人员经费</w:t>
            </w:r>
          </w:p>
        </w:tc>
        <w:tc>
          <w:tcPr>
            <w:tcW w:w="2057" w:type="dxa"/>
            <w:tcBorders>
              <w:left w:val="single" w:sz="4" w:space="0" w:color="000000"/>
              <w:bottom w:val="single" w:sz="4" w:space="0" w:color="000000"/>
              <w:right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公用经费</w:t>
            </w:r>
          </w:p>
        </w:tc>
      </w:tr>
      <w:tr w:rsidR="006E5555">
        <w:trPr>
          <w:cantSplit/>
          <w:trHeight w:hRule="exact" w:val="350"/>
        </w:trPr>
        <w:tc>
          <w:tcPr>
            <w:tcW w:w="4673" w:type="dxa"/>
            <w:gridSpan w:val="2"/>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rPr>
              <w:t>合计</w:t>
            </w:r>
          </w:p>
        </w:tc>
        <w:tc>
          <w:tcPr>
            <w:tcW w:w="2047" w:type="dxa"/>
            <w:tcBorders>
              <w:left w:val="single" w:sz="4" w:space="0" w:color="000000"/>
              <w:bottom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3,175.77</w:t>
            </w:r>
          </w:p>
        </w:tc>
        <w:tc>
          <w:tcPr>
            <w:tcW w:w="2040" w:type="dxa"/>
            <w:tcBorders>
              <w:left w:val="single" w:sz="4" w:space="0" w:color="000000"/>
              <w:bottom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2,993.46</w:t>
            </w:r>
          </w:p>
        </w:tc>
        <w:tc>
          <w:tcPr>
            <w:tcW w:w="2057" w:type="dxa"/>
            <w:tcBorders>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301</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工资福利支出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2,795.68</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2,795.68</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30101</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基本工资</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396.12</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396.12</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30102</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津贴补贴</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1,209.31</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1,209.31</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30103</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奖金</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444.76</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444.76</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30108</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机关事业单位基本养老保险缴费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30109</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职业年金缴费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30110</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职工基本医疗保险缴费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30112</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其他社会保障缴费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16.43</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16.43</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30113</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住房公积金</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30114</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医疗费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10.32</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10.32</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30199</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其他工资福利支出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18.90</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18.90</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302</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商品和服务支出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30201</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办公费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69.97</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69.97</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30215</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会议费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0.35</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0.35</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30216</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培训费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1.40</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1.40</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30217</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公务接待费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1.73</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1.73</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30228</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工会经费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26.74</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26.74</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30229</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福利费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6.64</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6.64</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30239</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其他交通费用</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68.52</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68.52</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30299</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其他商品和服务支出</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6.96</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6.96</w:t>
            </w: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303</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对个人和家庭的补助</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197.78</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197.78</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40"/>
        </w:trPr>
        <w:tc>
          <w:tcPr>
            <w:tcW w:w="1131"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30302</w:t>
            </w:r>
          </w:p>
        </w:tc>
        <w:tc>
          <w:tcPr>
            <w:tcW w:w="3542"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退休费</w:t>
            </w:r>
          </w:p>
        </w:tc>
        <w:tc>
          <w:tcPr>
            <w:tcW w:w="204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197.78</w:t>
            </w:r>
          </w:p>
        </w:tc>
        <w:tc>
          <w:tcPr>
            <w:tcW w:w="2040"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197.78</w:t>
            </w:r>
          </w:p>
        </w:tc>
        <w:tc>
          <w:tcPr>
            <w:tcW w:w="2057"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bl>
    <w:p w:rsidR="006E5555" w:rsidRDefault="006E5555">
      <w:pPr>
        <w:spacing w:line="255" w:lineRule="exact"/>
        <w:rPr>
          <w:rFonts w:ascii="仿宋" w:eastAsia="仿宋" w:hAnsi="仿宋" w:cs="仿宋"/>
          <w:b/>
          <w:bCs/>
        </w:rPr>
        <w:sectPr w:rsidR="006E5555">
          <w:footerReference w:type="default" r:id="rId17"/>
          <w:pgSz w:w="11906" w:h="16838"/>
          <w:pgMar w:top="720" w:right="720" w:bottom="720" w:left="720" w:header="170" w:footer="280" w:gutter="0"/>
          <w:pgNumType w:fmt="numberInDash"/>
          <w:cols w:space="720"/>
          <w:formProt w:val="0"/>
          <w:docGrid w:linePitch="100"/>
        </w:sectPr>
      </w:pPr>
    </w:p>
    <w:tbl>
      <w:tblPr>
        <w:tblW w:w="15216" w:type="dxa"/>
        <w:tblInd w:w="175" w:type="dxa"/>
        <w:tblLayout w:type="fixed"/>
        <w:tblCellMar>
          <w:top w:w="55" w:type="dxa"/>
          <w:left w:w="55" w:type="dxa"/>
          <w:bottom w:w="55" w:type="dxa"/>
          <w:right w:w="55" w:type="dxa"/>
        </w:tblCellMar>
        <w:tblLook w:val="04A0" w:firstRow="1" w:lastRow="0" w:firstColumn="1" w:lastColumn="0" w:noHBand="0" w:noVBand="1"/>
      </w:tblPr>
      <w:tblGrid>
        <w:gridCol w:w="1792"/>
        <w:gridCol w:w="4307"/>
        <w:gridCol w:w="1960"/>
        <w:gridCol w:w="1693"/>
        <w:gridCol w:w="1987"/>
        <w:gridCol w:w="1827"/>
        <w:gridCol w:w="1650"/>
      </w:tblGrid>
      <w:tr w:rsidR="006E5555">
        <w:trPr>
          <w:cantSplit/>
          <w:trHeight w:val="321"/>
        </w:trPr>
        <w:tc>
          <w:tcPr>
            <w:tcW w:w="15216" w:type="dxa"/>
            <w:gridSpan w:val="7"/>
            <w:vAlign w:val="center"/>
          </w:tcPr>
          <w:p w:rsidR="006E5555" w:rsidRDefault="00744F51">
            <w:pPr>
              <w:pStyle w:val="TableParagraph"/>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w:t>
            </w:r>
            <w:r>
              <w:rPr>
                <w:rFonts w:ascii="仿宋" w:eastAsia="仿宋" w:hAnsi="仿宋" w:cs="仿宋" w:hint="eastAsia"/>
                <w:lang w:val="en-US"/>
              </w:rPr>
              <w:t>7</w:t>
            </w:r>
            <w:r>
              <w:rPr>
                <w:rFonts w:ascii="仿宋" w:eastAsia="仿宋" w:hAnsi="仿宋" w:cs="仿宋" w:hint="eastAsia"/>
              </w:rPr>
              <w:t>表</w:t>
            </w:r>
          </w:p>
        </w:tc>
      </w:tr>
      <w:tr w:rsidR="006E5555">
        <w:trPr>
          <w:cantSplit/>
          <w:trHeight w:val="321"/>
        </w:trPr>
        <w:tc>
          <w:tcPr>
            <w:tcW w:w="15216" w:type="dxa"/>
            <w:gridSpan w:val="7"/>
          </w:tcPr>
          <w:p w:rsidR="006E5555" w:rsidRDefault="00744F51">
            <w:pPr>
              <w:pStyle w:val="TableParagraph"/>
              <w:jc w:val="center"/>
              <w:rPr>
                <w:rFonts w:ascii="仿宋" w:eastAsia="仿宋" w:hAnsi="仿宋" w:cs="仿宋"/>
                <w:sz w:val="27"/>
              </w:rPr>
            </w:pPr>
            <w:r>
              <w:rPr>
                <w:rFonts w:ascii="仿宋" w:eastAsia="仿宋" w:hAnsi="仿宋" w:cs="仿宋" w:hint="eastAsia"/>
                <w:b/>
                <w:bCs/>
                <w:sz w:val="44"/>
                <w:szCs w:val="44"/>
              </w:rPr>
              <w:t>一般公共预算支出表</w:t>
            </w:r>
          </w:p>
        </w:tc>
      </w:tr>
      <w:tr w:rsidR="006E5555">
        <w:trPr>
          <w:cantSplit/>
          <w:trHeight w:val="288"/>
        </w:trPr>
        <w:tc>
          <w:tcPr>
            <w:tcW w:w="13566" w:type="dxa"/>
            <w:gridSpan w:val="6"/>
          </w:tcPr>
          <w:p w:rsidR="006E5555" w:rsidRDefault="00744F51">
            <w:pPr>
              <w:pStyle w:val="TableParagraph"/>
              <w:rPr>
                <w:rFonts w:ascii="仿宋" w:eastAsia="仿宋" w:hAnsi="仿宋" w:cs="仿宋"/>
                <w:sz w:val="27"/>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1650" w:type="dxa"/>
            <w:vAlign w:val="center"/>
          </w:tcPr>
          <w:p w:rsidR="006E5555" w:rsidRDefault="00744F51">
            <w:pPr>
              <w:pStyle w:val="TableParagraph"/>
              <w:jc w:val="right"/>
              <w:rPr>
                <w:rFonts w:ascii="仿宋" w:eastAsia="仿宋" w:hAnsi="仿宋" w:cs="仿宋"/>
                <w:sz w:val="27"/>
              </w:rPr>
            </w:pPr>
            <w:r>
              <w:rPr>
                <w:rFonts w:ascii="仿宋" w:eastAsia="仿宋" w:hAnsi="仿宋" w:cs="仿宋" w:hint="eastAsia"/>
              </w:rPr>
              <w:t>单位</w:t>
            </w:r>
            <w:r>
              <w:rPr>
                <w:rFonts w:ascii="仿宋" w:eastAsia="仿宋" w:hAnsi="仿宋" w:cs="仿宋" w:hint="eastAsia"/>
              </w:rPr>
              <w:t>：万元</w:t>
            </w:r>
          </w:p>
        </w:tc>
      </w:tr>
      <w:tr w:rsidR="006E5555">
        <w:trPr>
          <w:cantSplit/>
          <w:trHeight w:val="319"/>
        </w:trPr>
        <w:tc>
          <w:tcPr>
            <w:tcW w:w="1792" w:type="dxa"/>
            <w:vMerge w:val="restart"/>
            <w:tcBorders>
              <w:top w:val="single" w:sz="6" w:space="0" w:color="000000"/>
              <w:left w:val="single" w:sz="6"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科目编码</w:t>
            </w:r>
          </w:p>
        </w:tc>
        <w:tc>
          <w:tcPr>
            <w:tcW w:w="4307" w:type="dxa"/>
            <w:vMerge w:val="restart"/>
            <w:tcBorders>
              <w:top w:val="single" w:sz="6" w:space="0" w:color="000000"/>
              <w:left w:val="single" w:sz="6"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科目名称</w:t>
            </w:r>
          </w:p>
        </w:tc>
        <w:tc>
          <w:tcPr>
            <w:tcW w:w="1960" w:type="dxa"/>
            <w:vMerge w:val="restart"/>
            <w:tcBorders>
              <w:top w:val="single" w:sz="6" w:space="0" w:color="000000"/>
              <w:left w:val="single" w:sz="6"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合计</w:t>
            </w:r>
          </w:p>
        </w:tc>
        <w:tc>
          <w:tcPr>
            <w:tcW w:w="5507" w:type="dxa"/>
            <w:gridSpan w:val="3"/>
            <w:tcBorders>
              <w:top w:val="single" w:sz="6" w:space="0" w:color="000000"/>
              <w:left w:val="single" w:sz="6" w:space="0" w:color="000000"/>
              <w:bottom w:val="single" w:sz="6"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基本支出</w:t>
            </w:r>
          </w:p>
        </w:tc>
        <w:tc>
          <w:tcPr>
            <w:tcW w:w="1650" w:type="dxa"/>
            <w:vMerge w:val="restart"/>
            <w:tcBorders>
              <w:top w:val="single" w:sz="6" w:space="0" w:color="000000"/>
              <w:left w:val="single" w:sz="6" w:space="0" w:color="000000"/>
              <w:right w:val="single" w:sz="6"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项目支出</w:t>
            </w:r>
          </w:p>
        </w:tc>
      </w:tr>
      <w:tr w:rsidR="006E5555">
        <w:trPr>
          <w:cantSplit/>
          <w:trHeight w:val="341"/>
        </w:trPr>
        <w:tc>
          <w:tcPr>
            <w:tcW w:w="1792" w:type="dxa"/>
            <w:vMerge/>
            <w:tcBorders>
              <w:left w:val="single" w:sz="6" w:space="0" w:color="000000"/>
              <w:bottom w:val="single" w:sz="6" w:space="0" w:color="000000"/>
            </w:tcBorders>
            <w:vAlign w:val="center"/>
          </w:tcPr>
          <w:p w:rsidR="006E5555" w:rsidRDefault="006E5555">
            <w:pPr>
              <w:pStyle w:val="TableParagraph"/>
              <w:jc w:val="center"/>
              <w:rPr>
                <w:rFonts w:ascii="仿宋" w:eastAsia="仿宋" w:hAnsi="仿宋" w:cs="仿宋"/>
              </w:rPr>
            </w:pPr>
          </w:p>
        </w:tc>
        <w:tc>
          <w:tcPr>
            <w:tcW w:w="4307" w:type="dxa"/>
            <w:vMerge/>
            <w:tcBorders>
              <w:left w:val="single" w:sz="6" w:space="0" w:color="000000"/>
              <w:bottom w:val="single" w:sz="6" w:space="0" w:color="000000"/>
            </w:tcBorders>
            <w:vAlign w:val="center"/>
          </w:tcPr>
          <w:p w:rsidR="006E5555" w:rsidRDefault="006E5555">
            <w:pPr>
              <w:pStyle w:val="TableParagraph"/>
              <w:jc w:val="center"/>
              <w:rPr>
                <w:rFonts w:ascii="仿宋" w:eastAsia="仿宋" w:hAnsi="仿宋" w:cs="仿宋"/>
              </w:rPr>
            </w:pPr>
          </w:p>
        </w:tc>
        <w:tc>
          <w:tcPr>
            <w:tcW w:w="1960" w:type="dxa"/>
            <w:vMerge/>
            <w:tcBorders>
              <w:left w:val="single" w:sz="6" w:space="0" w:color="000000"/>
              <w:bottom w:val="single" w:sz="6" w:space="0" w:color="000000"/>
            </w:tcBorders>
          </w:tcPr>
          <w:p w:rsidR="006E5555" w:rsidRDefault="006E5555">
            <w:pPr>
              <w:rPr>
                <w:rFonts w:ascii="仿宋" w:eastAsia="仿宋" w:hAnsi="仿宋" w:cs="仿宋"/>
              </w:rPr>
            </w:pPr>
          </w:p>
        </w:tc>
        <w:tc>
          <w:tcPr>
            <w:tcW w:w="1693" w:type="dxa"/>
            <w:tcBorders>
              <w:left w:val="single" w:sz="6" w:space="0" w:color="000000"/>
              <w:bottom w:val="single" w:sz="6" w:space="0" w:color="000000"/>
            </w:tcBorders>
            <w:vAlign w:val="center"/>
          </w:tcPr>
          <w:p w:rsidR="006E5555" w:rsidRDefault="00744F51">
            <w:pPr>
              <w:widowControl/>
              <w:jc w:val="center"/>
              <w:rPr>
                <w:rFonts w:ascii="仿宋" w:eastAsia="仿宋" w:hAnsi="仿宋" w:cs="仿宋"/>
                <w:lang w:val="en-US"/>
              </w:rPr>
            </w:pPr>
            <w:r>
              <w:rPr>
                <w:rFonts w:ascii="仿宋" w:eastAsia="仿宋" w:hAnsi="仿宋" w:cs="仿宋" w:hint="eastAsia"/>
                <w:lang w:val="en-US"/>
              </w:rPr>
              <w:t>小计</w:t>
            </w:r>
          </w:p>
        </w:tc>
        <w:tc>
          <w:tcPr>
            <w:tcW w:w="1987" w:type="dxa"/>
            <w:tcBorders>
              <w:left w:val="single" w:sz="6" w:space="0" w:color="000000"/>
              <w:bottom w:val="single" w:sz="6" w:space="0" w:color="000000"/>
            </w:tcBorders>
            <w:vAlign w:val="center"/>
          </w:tcPr>
          <w:p w:rsidR="006E5555" w:rsidRDefault="00744F51">
            <w:pPr>
              <w:widowControl/>
              <w:jc w:val="center"/>
              <w:rPr>
                <w:rFonts w:ascii="仿宋" w:eastAsia="仿宋" w:hAnsi="仿宋" w:cs="仿宋"/>
              </w:rPr>
            </w:pPr>
            <w:r>
              <w:rPr>
                <w:rFonts w:ascii="仿宋" w:eastAsia="仿宋" w:hAnsi="仿宋" w:cs="仿宋" w:hint="eastAsia"/>
                <w:lang w:val="en-US"/>
              </w:rPr>
              <w:t>人员经费</w:t>
            </w:r>
          </w:p>
        </w:tc>
        <w:tc>
          <w:tcPr>
            <w:tcW w:w="1827" w:type="dxa"/>
            <w:tcBorders>
              <w:left w:val="single" w:sz="6" w:space="0" w:color="000000"/>
              <w:bottom w:val="single" w:sz="6" w:space="0" w:color="000000"/>
            </w:tcBorders>
            <w:vAlign w:val="center"/>
          </w:tcPr>
          <w:p w:rsidR="006E5555" w:rsidRDefault="00744F51">
            <w:pPr>
              <w:widowControl/>
              <w:jc w:val="center"/>
              <w:rPr>
                <w:rFonts w:ascii="仿宋" w:eastAsia="仿宋" w:hAnsi="仿宋" w:cs="仿宋"/>
              </w:rPr>
            </w:pPr>
            <w:r>
              <w:rPr>
                <w:rFonts w:ascii="仿宋" w:eastAsia="仿宋" w:hAnsi="仿宋" w:cs="仿宋" w:hint="eastAsia"/>
                <w:lang w:val="en-US"/>
              </w:rPr>
              <w:t>公用经费</w:t>
            </w:r>
          </w:p>
        </w:tc>
        <w:tc>
          <w:tcPr>
            <w:tcW w:w="1650" w:type="dxa"/>
            <w:vMerge/>
            <w:tcBorders>
              <w:left w:val="single" w:sz="6" w:space="0" w:color="000000"/>
              <w:bottom w:val="single" w:sz="6" w:space="0" w:color="000000"/>
              <w:right w:val="single" w:sz="6" w:space="0" w:color="000000"/>
            </w:tcBorders>
          </w:tcPr>
          <w:p w:rsidR="006E5555" w:rsidRDefault="006E5555">
            <w:pPr>
              <w:rPr>
                <w:rFonts w:ascii="仿宋" w:eastAsia="仿宋" w:hAnsi="仿宋" w:cs="仿宋"/>
              </w:rPr>
            </w:pPr>
          </w:p>
        </w:tc>
      </w:tr>
      <w:tr w:rsidR="006E5555">
        <w:trPr>
          <w:cantSplit/>
          <w:trHeight w:hRule="exact" w:val="378"/>
        </w:trPr>
        <w:tc>
          <w:tcPr>
            <w:tcW w:w="6099" w:type="dxa"/>
            <w:gridSpan w:val="2"/>
            <w:tcBorders>
              <w:left w:val="single" w:sz="6" w:space="0" w:color="000000"/>
              <w:bottom w:val="single" w:sz="6"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合计</w:t>
            </w:r>
          </w:p>
        </w:tc>
        <w:tc>
          <w:tcPr>
            <w:tcW w:w="1960" w:type="dxa"/>
            <w:tcBorders>
              <w:left w:val="single" w:sz="6" w:space="0" w:color="000000"/>
              <w:bottom w:val="single" w:sz="6"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12,110.47</w:t>
            </w:r>
          </w:p>
        </w:tc>
        <w:tc>
          <w:tcPr>
            <w:tcW w:w="1693" w:type="dxa"/>
            <w:tcBorders>
              <w:left w:val="single" w:sz="6" w:space="0" w:color="000000"/>
              <w:bottom w:val="single" w:sz="6"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3,175.77</w:t>
            </w:r>
          </w:p>
        </w:tc>
        <w:tc>
          <w:tcPr>
            <w:tcW w:w="1987" w:type="dxa"/>
            <w:tcBorders>
              <w:left w:val="single" w:sz="6" w:space="0" w:color="000000"/>
              <w:bottom w:val="single" w:sz="6"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2,993.46</w:t>
            </w:r>
          </w:p>
        </w:tc>
        <w:tc>
          <w:tcPr>
            <w:tcW w:w="1827" w:type="dxa"/>
            <w:tcBorders>
              <w:left w:val="single" w:sz="6" w:space="0" w:color="000000"/>
              <w:bottom w:val="single" w:sz="6"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182.31</w:t>
            </w:r>
          </w:p>
        </w:tc>
        <w:tc>
          <w:tcPr>
            <w:tcW w:w="1650" w:type="dxa"/>
            <w:tcBorders>
              <w:left w:val="single" w:sz="6" w:space="0" w:color="000000"/>
              <w:bottom w:val="single" w:sz="6" w:space="0" w:color="000000"/>
              <w:right w:val="single" w:sz="6" w:space="0" w:color="000000"/>
            </w:tcBorders>
          </w:tcPr>
          <w:p w:rsidR="006E5555" w:rsidRDefault="00744F51">
            <w:pPr>
              <w:pStyle w:val="TableParagraph"/>
              <w:jc w:val="right"/>
              <w:rPr>
                <w:rFonts w:ascii="仿宋" w:eastAsia="仿宋" w:hAnsi="仿宋" w:cs="仿宋"/>
              </w:rPr>
            </w:pPr>
            <w:r>
              <w:rPr>
                <w:rFonts w:ascii="仿宋" w:eastAsia="仿宋" w:hAnsi="仿宋" w:cs="仿宋" w:hint="eastAsia"/>
              </w:rPr>
              <w:t>8,934.70</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208</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社会保障和就业支出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20805</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行政事业单位养老支出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360.71</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2080505</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机关事业单位基本养老保险缴费支出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2080506</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机关事业单位职业年金缴费支出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210</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卫生健康支出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21011</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行政事业单位医疗</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2101101</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行政单位医疗</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212</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城乡社区支出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115.72</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115.72</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21202</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城乡社区规划与管理</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115.72</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115.72</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2120201</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城乡社区规划与管理</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115.72</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115.72</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213</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农林水支出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3,318.57</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21302</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林业和草原</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3,318.57</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2130299</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其他林业和草原支出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3,318.57</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3,318.57</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220</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自然资源海洋气象等支出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7,490.73</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1,990.32</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1,808.01</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5,500.41</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22001</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自然资源事务</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7,490.73</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1,990.32</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1,808.01</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5,500.41</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2200101</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行政运行</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1,990.32</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1,990.32</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1,808.01</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2200108</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自然资源行业业务管理</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2,273.52</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2,273.52</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2200199</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其他自然资源事务支出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3,226.89</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3,226.89</w:t>
            </w: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lastRenderedPageBreak/>
              <w:t>221</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住房保障支出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22102</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住房改革支出</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709.76</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2210201</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住房公积金</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2210202</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提租补贴</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286.58</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286.58</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286.58</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90"/>
        </w:trPr>
        <w:tc>
          <w:tcPr>
            <w:tcW w:w="1792" w:type="dxa"/>
            <w:tcBorders>
              <w:top w:val="single" w:sz="6" w:space="0" w:color="000000"/>
              <w:left w:val="single" w:sz="6"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2210203</w:t>
            </w:r>
          </w:p>
        </w:tc>
        <w:tc>
          <w:tcPr>
            <w:tcW w:w="430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购房补贴</w:t>
            </w:r>
          </w:p>
        </w:tc>
        <w:tc>
          <w:tcPr>
            <w:tcW w:w="1960"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199.03</w:t>
            </w:r>
          </w:p>
        </w:tc>
        <w:tc>
          <w:tcPr>
            <w:tcW w:w="1693"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199.03</w:t>
            </w:r>
          </w:p>
        </w:tc>
        <w:tc>
          <w:tcPr>
            <w:tcW w:w="1987" w:type="dxa"/>
            <w:tcBorders>
              <w:top w:val="single" w:sz="6" w:space="0" w:color="000000"/>
              <w:left w:val="single" w:sz="4" w:space="0" w:color="000000"/>
              <w:bottom w:val="single" w:sz="6"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199.03</w:t>
            </w:r>
          </w:p>
        </w:tc>
        <w:tc>
          <w:tcPr>
            <w:tcW w:w="1827" w:type="dxa"/>
            <w:tcBorders>
              <w:top w:val="single" w:sz="6" w:space="0" w:color="000000"/>
              <w:left w:val="single" w:sz="4" w:space="0" w:color="000000"/>
              <w:bottom w:val="single" w:sz="6"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50" w:type="dxa"/>
            <w:tcBorders>
              <w:top w:val="single" w:sz="6" w:space="0" w:color="000000"/>
              <w:left w:val="single" w:sz="4" w:space="0" w:color="000000"/>
              <w:bottom w:val="single" w:sz="6" w:space="0" w:color="000000"/>
              <w:right w:val="single" w:sz="6" w:space="0" w:color="000000"/>
            </w:tcBorders>
            <w:vAlign w:val="center"/>
          </w:tcPr>
          <w:p w:rsidR="006E5555" w:rsidRDefault="006E5555">
            <w:pPr>
              <w:pStyle w:val="TableParagraph"/>
              <w:jc w:val="right"/>
              <w:rPr>
                <w:rFonts w:ascii="仿宋" w:eastAsia="仿宋" w:hAnsi="仿宋" w:cs="仿宋"/>
              </w:rPr>
            </w:pPr>
          </w:p>
        </w:tc>
      </w:tr>
    </w:tbl>
    <w:p w:rsidR="006E5555" w:rsidRDefault="006E5555">
      <w:pPr>
        <w:spacing w:before="25"/>
        <w:rPr>
          <w:rFonts w:ascii="仿宋" w:eastAsia="仿宋" w:hAnsi="仿宋" w:cs="仿宋"/>
          <w:b/>
          <w:bCs/>
        </w:rPr>
        <w:sectPr w:rsidR="006E5555">
          <w:footerReference w:type="default" r:id="rId18"/>
          <w:pgSz w:w="16838" w:h="11906" w:orient="landscape"/>
          <w:pgMar w:top="720" w:right="720" w:bottom="720" w:left="720" w:header="170" w:footer="280" w:gutter="0"/>
          <w:pgNumType w:fmt="numberInDash"/>
          <w:cols w:space="720"/>
          <w:formProt w:val="0"/>
          <w:docGrid w:linePitch="100"/>
        </w:sectPr>
      </w:pPr>
    </w:p>
    <w:tbl>
      <w:tblPr>
        <w:tblW w:w="10954" w:type="dxa"/>
        <w:tblInd w:w="-204" w:type="dxa"/>
        <w:tblLayout w:type="fixed"/>
        <w:tblCellMar>
          <w:top w:w="55" w:type="dxa"/>
          <w:left w:w="55" w:type="dxa"/>
          <w:bottom w:w="55" w:type="dxa"/>
          <w:right w:w="55" w:type="dxa"/>
        </w:tblCellMar>
        <w:tblLook w:val="04A0" w:firstRow="1" w:lastRow="0" w:firstColumn="1" w:lastColumn="0" w:noHBand="0" w:noVBand="1"/>
      </w:tblPr>
      <w:tblGrid>
        <w:gridCol w:w="1227"/>
        <w:gridCol w:w="3667"/>
        <w:gridCol w:w="2413"/>
        <w:gridCol w:w="1974"/>
        <w:gridCol w:w="1673"/>
      </w:tblGrid>
      <w:tr w:rsidR="006E5555">
        <w:trPr>
          <w:cantSplit/>
          <w:trHeight w:val="319"/>
        </w:trPr>
        <w:tc>
          <w:tcPr>
            <w:tcW w:w="10954" w:type="dxa"/>
            <w:gridSpan w:val="5"/>
          </w:tcPr>
          <w:p w:rsidR="006E5555" w:rsidRDefault="00744F51">
            <w:pPr>
              <w:pStyle w:val="TableParagraph"/>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08</w:t>
            </w:r>
            <w:r>
              <w:rPr>
                <w:rFonts w:ascii="仿宋" w:eastAsia="仿宋" w:hAnsi="仿宋" w:cs="仿宋" w:hint="eastAsia"/>
              </w:rPr>
              <w:t>表</w:t>
            </w:r>
          </w:p>
        </w:tc>
      </w:tr>
      <w:tr w:rsidR="006E5555">
        <w:trPr>
          <w:cantSplit/>
          <w:trHeight w:val="189"/>
        </w:trPr>
        <w:tc>
          <w:tcPr>
            <w:tcW w:w="10954" w:type="dxa"/>
            <w:gridSpan w:val="5"/>
          </w:tcPr>
          <w:p w:rsidR="006E5555" w:rsidRDefault="00744F51">
            <w:pPr>
              <w:pStyle w:val="TableParagraph"/>
              <w:jc w:val="center"/>
              <w:rPr>
                <w:rFonts w:ascii="仿宋" w:eastAsia="仿宋" w:hAnsi="仿宋" w:cs="仿宋"/>
                <w:sz w:val="20"/>
              </w:rPr>
            </w:pPr>
            <w:r>
              <w:rPr>
                <w:rFonts w:ascii="仿宋" w:eastAsia="仿宋" w:hAnsi="仿宋" w:cs="仿宋" w:hint="eastAsia"/>
                <w:b/>
                <w:bCs/>
                <w:sz w:val="44"/>
                <w:szCs w:val="44"/>
              </w:rPr>
              <w:t>一般公共预算基本支出表</w:t>
            </w:r>
          </w:p>
        </w:tc>
      </w:tr>
      <w:tr w:rsidR="006E5555">
        <w:trPr>
          <w:cantSplit/>
          <w:trHeight w:val="138"/>
        </w:trPr>
        <w:tc>
          <w:tcPr>
            <w:tcW w:w="9281" w:type="dxa"/>
            <w:gridSpan w:val="4"/>
            <w:vAlign w:val="center"/>
          </w:tcPr>
          <w:p w:rsidR="006E5555" w:rsidRDefault="00744F5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1673" w:type="dxa"/>
            <w:vAlign w:val="center"/>
          </w:tcPr>
          <w:p w:rsidR="006E5555" w:rsidRDefault="00744F51">
            <w:pPr>
              <w:pStyle w:val="TableParagraph"/>
              <w:jc w:val="right"/>
              <w:rPr>
                <w:rFonts w:ascii="仿宋" w:eastAsia="仿宋" w:hAnsi="仿宋" w:cs="仿宋"/>
                <w:sz w:val="20"/>
              </w:rPr>
            </w:pPr>
            <w:r>
              <w:rPr>
                <w:rFonts w:ascii="仿宋" w:eastAsia="仿宋" w:hAnsi="仿宋" w:cs="仿宋" w:hint="eastAsia"/>
              </w:rPr>
              <w:t>单位</w:t>
            </w:r>
            <w:r>
              <w:rPr>
                <w:rFonts w:ascii="仿宋" w:eastAsia="仿宋" w:hAnsi="仿宋" w:cs="仿宋" w:hint="eastAsia"/>
              </w:rPr>
              <w:t>：万元</w:t>
            </w:r>
          </w:p>
        </w:tc>
      </w:tr>
      <w:tr w:rsidR="006E5555">
        <w:trPr>
          <w:cantSplit/>
          <w:trHeight w:val="180"/>
        </w:trPr>
        <w:tc>
          <w:tcPr>
            <w:tcW w:w="4894" w:type="dxa"/>
            <w:gridSpan w:val="2"/>
            <w:tcBorders>
              <w:top w:val="single" w:sz="4" w:space="0" w:color="000000"/>
              <w:left w:val="single" w:sz="4" w:space="0" w:color="000000"/>
              <w:bottom w:val="single" w:sz="4" w:space="0" w:color="000000"/>
            </w:tcBorders>
            <w:vAlign w:val="center"/>
          </w:tcPr>
          <w:p w:rsidR="006E5555" w:rsidRDefault="00744F51">
            <w:pPr>
              <w:jc w:val="center"/>
              <w:rPr>
                <w:rFonts w:ascii="仿宋" w:eastAsia="仿宋" w:hAnsi="仿宋" w:cs="仿宋"/>
              </w:rPr>
            </w:pPr>
            <w:r>
              <w:rPr>
                <w:rFonts w:ascii="仿宋" w:eastAsia="仿宋" w:hAnsi="仿宋" w:cs="仿宋" w:hint="eastAsia"/>
              </w:rPr>
              <w:t>部门预算支出经济分类科目</w:t>
            </w:r>
          </w:p>
        </w:tc>
        <w:tc>
          <w:tcPr>
            <w:tcW w:w="6060" w:type="dxa"/>
            <w:gridSpan w:val="3"/>
            <w:tcBorders>
              <w:top w:val="single" w:sz="4" w:space="0" w:color="000000"/>
              <w:left w:val="single" w:sz="4" w:space="0" w:color="000000"/>
              <w:bottom w:val="single" w:sz="4" w:space="0" w:color="000000"/>
              <w:right w:val="single" w:sz="4" w:space="0" w:color="000000"/>
            </w:tcBorders>
            <w:vAlign w:val="center"/>
          </w:tcPr>
          <w:p w:rsidR="006E5555" w:rsidRDefault="00744F51">
            <w:pPr>
              <w:jc w:val="center"/>
              <w:rPr>
                <w:rFonts w:ascii="仿宋" w:eastAsia="仿宋" w:hAnsi="仿宋" w:cs="仿宋"/>
              </w:rPr>
            </w:pPr>
            <w:r>
              <w:rPr>
                <w:rFonts w:ascii="仿宋" w:eastAsia="仿宋" w:hAnsi="仿宋" w:cs="仿宋" w:hint="eastAsia"/>
              </w:rPr>
              <w:t>本年一般公共预算基本支出</w:t>
            </w:r>
          </w:p>
        </w:tc>
      </w:tr>
      <w:tr w:rsidR="006E5555">
        <w:trPr>
          <w:cantSplit/>
          <w:trHeight w:val="190"/>
        </w:trPr>
        <w:tc>
          <w:tcPr>
            <w:tcW w:w="1227"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科目编码</w:t>
            </w:r>
          </w:p>
        </w:tc>
        <w:tc>
          <w:tcPr>
            <w:tcW w:w="3667"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科目名称</w:t>
            </w:r>
          </w:p>
        </w:tc>
        <w:tc>
          <w:tcPr>
            <w:tcW w:w="2413"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合计</w:t>
            </w:r>
          </w:p>
        </w:tc>
        <w:tc>
          <w:tcPr>
            <w:tcW w:w="1974" w:type="dxa"/>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人员经费</w:t>
            </w:r>
          </w:p>
        </w:tc>
        <w:tc>
          <w:tcPr>
            <w:tcW w:w="1673" w:type="dxa"/>
            <w:tcBorders>
              <w:left w:val="single" w:sz="4" w:space="0" w:color="000000"/>
              <w:bottom w:val="single" w:sz="4" w:space="0" w:color="000000"/>
              <w:right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公用经费</w:t>
            </w:r>
          </w:p>
        </w:tc>
      </w:tr>
      <w:tr w:rsidR="006E5555">
        <w:trPr>
          <w:cantSplit/>
          <w:trHeight w:hRule="exact" w:val="382"/>
        </w:trPr>
        <w:tc>
          <w:tcPr>
            <w:tcW w:w="4894" w:type="dxa"/>
            <w:gridSpan w:val="2"/>
            <w:tcBorders>
              <w:left w:val="single" w:sz="4" w:space="0" w:color="000000"/>
              <w:bottom w:val="single" w:sz="4" w:space="0" w:color="000000"/>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合计</w:t>
            </w:r>
          </w:p>
        </w:tc>
        <w:tc>
          <w:tcPr>
            <w:tcW w:w="2413" w:type="dxa"/>
            <w:tcBorders>
              <w:left w:val="single" w:sz="4" w:space="0" w:color="000000"/>
              <w:bottom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3,175.77</w:t>
            </w:r>
          </w:p>
        </w:tc>
        <w:tc>
          <w:tcPr>
            <w:tcW w:w="1974" w:type="dxa"/>
            <w:tcBorders>
              <w:left w:val="single" w:sz="4" w:space="0" w:color="000000"/>
              <w:bottom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2,993.46</w:t>
            </w:r>
          </w:p>
        </w:tc>
        <w:tc>
          <w:tcPr>
            <w:tcW w:w="1673" w:type="dxa"/>
            <w:tcBorders>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301</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工资福利支出</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2,795.68</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2,795.68</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30101</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基本工资</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396.12</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396.12</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30102</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津贴补贴</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1,209.31</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1,209.31</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30103</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奖金</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444.76</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444.76</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30108</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机关事业单位基本养老保险缴费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240.47</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30109</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职业年金缴费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120.24</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30110</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职工基本医疗保险缴费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114.98</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30112</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其他社会保障缴费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16.43</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16.43</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30113</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住房公积金</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224.15</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30114</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医疗费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10.32</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10.32</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30199</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其他工资福利支出</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18.90</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18.90</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302</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商品和服务支出</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30201</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办公费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69.97</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69.97</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30215</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会议费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0.35</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0.35</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30216</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培训费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1.40</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1.40</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30217</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公务接待费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1.73</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1.73</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30228</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工会经费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26.74</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26.74</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30229</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福利费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6.64</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6.64</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30239</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其他交通费用</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68.52</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68.52</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30299</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其他商品和服务支出</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6.96</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6.96</w:t>
            </w: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303</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对个人和家庭的补助</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197.78</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197.78</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r w:rsidR="006E5555">
        <w:trPr>
          <w:cantSplit/>
          <w:trHeight w:val="208"/>
        </w:trPr>
        <w:tc>
          <w:tcPr>
            <w:tcW w:w="122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 xml:space="preserve">  30302</w:t>
            </w:r>
          </w:p>
        </w:tc>
        <w:tc>
          <w:tcPr>
            <w:tcW w:w="3667"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rPr>
                <w:rFonts w:ascii="仿宋" w:eastAsia="仿宋" w:hAnsi="仿宋" w:cs="仿宋"/>
              </w:rPr>
            </w:pPr>
            <w:r>
              <w:rPr>
                <w:rFonts w:ascii="仿宋" w:eastAsia="仿宋" w:hAnsi="仿宋" w:cs="仿宋" w:hint="eastAsia"/>
              </w:rPr>
              <w:t>退休费</w:t>
            </w:r>
          </w:p>
        </w:tc>
        <w:tc>
          <w:tcPr>
            <w:tcW w:w="2413"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197.78</w:t>
            </w:r>
          </w:p>
        </w:tc>
        <w:tc>
          <w:tcPr>
            <w:tcW w:w="1974" w:type="dxa"/>
            <w:tcBorders>
              <w:top w:val="single" w:sz="4" w:space="0" w:color="000000"/>
              <w:left w:val="single" w:sz="4" w:space="0" w:color="000000"/>
              <w:bottom w:val="single" w:sz="4" w:space="0" w:color="000000"/>
              <w:right w:val="single" w:sz="4" w:space="0" w:color="000000"/>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197.78</w:t>
            </w:r>
          </w:p>
        </w:tc>
        <w:tc>
          <w:tcPr>
            <w:tcW w:w="1673" w:type="dxa"/>
            <w:tcBorders>
              <w:top w:val="single" w:sz="4" w:space="0" w:color="000000"/>
              <w:left w:val="single" w:sz="4" w:space="0" w:color="000000"/>
              <w:bottom w:val="single" w:sz="4" w:space="0" w:color="000000"/>
              <w:right w:val="single" w:sz="4" w:space="0" w:color="000000"/>
            </w:tcBorders>
            <w:vAlign w:val="center"/>
          </w:tcPr>
          <w:p w:rsidR="006E5555" w:rsidRDefault="006E5555">
            <w:pPr>
              <w:pStyle w:val="TableParagraph"/>
              <w:jc w:val="right"/>
              <w:rPr>
                <w:rFonts w:ascii="仿宋" w:eastAsia="仿宋" w:hAnsi="仿宋" w:cs="仿宋"/>
              </w:rPr>
            </w:pPr>
          </w:p>
        </w:tc>
      </w:tr>
    </w:tbl>
    <w:p w:rsidR="006E5555" w:rsidRDefault="006E5555">
      <w:pPr>
        <w:spacing w:before="25"/>
        <w:rPr>
          <w:rFonts w:ascii="仿宋" w:eastAsia="仿宋" w:hAnsi="仿宋" w:cs="仿宋"/>
          <w:b/>
          <w:bCs/>
        </w:rPr>
        <w:sectPr w:rsidR="006E5555">
          <w:footerReference w:type="default" r:id="rId19"/>
          <w:pgSz w:w="11906" w:h="16838"/>
          <w:pgMar w:top="720" w:right="720" w:bottom="720" w:left="720" w:header="170" w:footer="280" w:gutter="0"/>
          <w:pgNumType w:fmt="numberInDash"/>
          <w:cols w:space="720"/>
          <w:formProt w:val="0"/>
          <w:docGrid w:linePitch="100"/>
        </w:sectPr>
      </w:pPr>
    </w:p>
    <w:tbl>
      <w:tblPr>
        <w:tblW w:w="15909" w:type="dxa"/>
        <w:tblInd w:w="-226" w:type="dxa"/>
        <w:tblLayout w:type="fixed"/>
        <w:tblCellMar>
          <w:top w:w="55" w:type="dxa"/>
          <w:left w:w="55" w:type="dxa"/>
          <w:bottom w:w="55" w:type="dxa"/>
          <w:right w:w="55" w:type="dxa"/>
        </w:tblCellMar>
        <w:tblLook w:val="04A0" w:firstRow="1" w:lastRow="0" w:firstColumn="1" w:lastColumn="0" w:noHBand="0" w:noVBand="1"/>
      </w:tblPr>
      <w:tblGrid>
        <w:gridCol w:w="2471"/>
        <w:gridCol w:w="2332"/>
        <w:gridCol w:w="2037"/>
        <w:gridCol w:w="1697"/>
        <w:gridCol w:w="1680"/>
        <w:gridCol w:w="1852"/>
        <w:gridCol w:w="2057"/>
        <w:gridCol w:w="1783"/>
      </w:tblGrid>
      <w:tr w:rsidR="006E5555">
        <w:trPr>
          <w:cantSplit/>
          <w:trHeight w:val="321"/>
        </w:trPr>
        <w:tc>
          <w:tcPr>
            <w:tcW w:w="15909" w:type="dxa"/>
            <w:gridSpan w:val="8"/>
          </w:tcPr>
          <w:p w:rsidR="006E5555" w:rsidRDefault="00744F51">
            <w:pPr>
              <w:pStyle w:val="TableParagraph"/>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09</w:t>
            </w:r>
            <w:r>
              <w:rPr>
                <w:rFonts w:ascii="仿宋" w:eastAsia="仿宋" w:hAnsi="仿宋" w:cs="仿宋" w:hint="eastAsia"/>
              </w:rPr>
              <w:t>表</w:t>
            </w:r>
          </w:p>
        </w:tc>
      </w:tr>
      <w:tr w:rsidR="006E5555">
        <w:trPr>
          <w:cantSplit/>
          <w:trHeight w:val="207"/>
        </w:trPr>
        <w:tc>
          <w:tcPr>
            <w:tcW w:w="15909" w:type="dxa"/>
            <w:gridSpan w:val="8"/>
          </w:tcPr>
          <w:p w:rsidR="006E5555" w:rsidRDefault="00744F51">
            <w:pPr>
              <w:pStyle w:val="TableParagraph"/>
              <w:jc w:val="center"/>
              <w:rPr>
                <w:rFonts w:ascii="仿宋" w:eastAsia="仿宋" w:hAnsi="仿宋" w:cs="仿宋"/>
                <w:sz w:val="20"/>
              </w:rPr>
            </w:pPr>
            <w:r>
              <w:rPr>
                <w:rFonts w:ascii="仿宋" w:eastAsia="仿宋" w:hAnsi="仿宋" w:cs="仿宋" w:hint="eastAsia"/>
                <w:b/>
                <w:bCs/>
                <w:sz w:val="44"/>
                <w:szCs w:val="44"/>
              </w:rPr>
              <w:t>一般公共预算“三公”经费、会议费、培训费支出表</w:t>
            </w:r>
          </w:p>
        </w:tc>
      </w:tr>
      <w:tr w:rsidR="006E5555">
        <w:trPr>
          <w:cantSplit/>
          <w:trHeight w:val="103"/>
        </w:trPr>
        <w:tc>
          <w:tcPr>
            <w:tcW w:w="12069" w:type="dxa"/>
            <w:gridSpan w:val="6"/>
            <w:tcBorders>
              <w:bottom w:val="single" w:sz="4" w:space="0" w:color="auto"/>
            </w:tcBorders>
          </w:tcPr>
          <w:p w:rsidR="006E5555" w:rsidRDefault="00744F5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3840" w:type="dxa"/>
            <w:gridSpan w:val="2"/>
            <w:tcBorders>
              <w:bottom w:val="single" w:sz="4" w:space="0" w:color="auto"/>
            </w:tcBorders>
            <w:vAlign w:val="center"/>
          </w:tcPr>
          <w:p w:rsidR="006E5555" w:rsidRDefault="00744F51">
            <w:pPr>
              <w:pStyle w:val="TableParagraph"/>
              <w:jc w:val="right"/>
              <w:rPr>
                <w:rFonts w:ascii="仿宋" w:eastAsia="仿宋" w:hAnsi="仿宋" w:cs="仿宋"/>
                <w:sz w:val="20"/>
              </w:rPr>
            </w:pPr>
            <w:r>
              <w:rPr>
                <w:rFonts w:ascii="仿宋" w:eastAsia="仿宋" w:hAnsi="仿宋" w:cs="仿宋" w:hint="eastAsia"/>
              </w:rPr>
              <w:t>单位</w:t>
            </w:r>
            <w:r>
              <w:rPr>
                <w:rFonts w:ascii="仿宋" w:eastAsia="仿宋" w:hAnsi="仿宋" w:cs="仿宋" w:hint="eastAsia"/>
              </w:rPr>
              <w:t>：万元</w:t>
            </w:r>
          </w:p>
        </w:tc>
      </w:tr>
      <w:tr w:rsidR="006E5555">
        <w:trPr>
          <w:cantSplit/>
          <w:trHeight w:val="297"/>
        </w:trPr>
        <w:tc>
          <w:tcPr>
            <w:tcW w:w="2471" w:type="dxa"/>
            <w:vMerge w:val="restart"/>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“三公”经费合计</w:t>
            </w:r>
          </w:p>
        </w:tc>
        <w:tc>
          <w:tcPr>
            <w:tcW w:w="2332" w:type="dxa"/>
            <w:vMerge w:val="restart"/>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因公出国（境）费</w:t>
            </w:r>
          </w:p>
        </w:tc>
        <w:tc>
          <w:tcPr>
            <w:tcW w:w="5414" w:type="dxa"/>
            <w:gridSpan w:val="3"/>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公务用车购置及运行</w:t>
            </w:r>
            <w:r>
              <w:rPr>
                <w:rFonts w:ascii="仿宋" w:eastAsia="仿宋" w:hAnsi="仿宋" w:cs="仿宋" w:hint="eastAsia"/>
                <w:lang w:val="en-US"/>
              </w:rPr>
              <w:t>维护</w:t>
            </w:r>
            <w:r>
              <w:rPr>
                <w:rFonts w:ascii="仿宋" w:eastAsia="仿宋" w:hAnsi="仿宋" w:cs="仿宋" w:hint="eastAsia"/>
              </w:rPr>
              <w:t>费</w:t>
            </w:r>
          </w:p>
        </w:tc>
        <w:tc>
          <w:tcPr>
            <w:tcW w:w="1852" w:type="dxa"/>
            <w:vMerge w:val="restart"/>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公务接待费</w:t>
            </w:r>
          </w:p>
        </w:tc>
        <w:tc>
          <w:tcPr>
            <w:tcW w:w="2057" w:type="dxa"/>
            <w:vMerge w:val="restart"/>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sz w:val="20"/>
              </w:rPr>
            </w:pPr>
            <w:r>
              <w:rPr>
                <w:rFonts w:ascii="仿宋" w:eastAsia="仿宋" w:hAnsi="仿宋" w:cs="仿宋" w:hint="eastAsia"/>
              </w:rPr>
              <w:t>会议费</w:t>
            </w:r>
          </w:p>
        </w:tc>
        <w:tc>
          <w:tcPr>
            <w:tcW w:w="1783" w:type="dxa"/>
            <w:vMerge w:val="restart"/>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sz w:val="20"/>
              </w:rPr>
            </w:pPr>
            <w:r>
              <w:rPr>
                <w:rFonts w:ascii="仿宋" w:eastAsia="仿宋" w:hAnsi="仿宋" w:cs="仿宋" w:hint="eastAsia"/>
              </w:rPr>
              <w:t>培训费</w:t>
            </w:r>
          </w:p>
        </w:tc>
      </w:tr>
      <w:tr w:rsidR="006E5555">
        <w:trPr>
          <w:cantSplit/>
          <w:trHeight w:hRule="exact" w:val="728"/>
        </w:trPr>
        <w:tc>
          <w:tcPr>
            <w:tcW w:w="2471" w:type="dxa"/>
            <w:vMerge/>
            <w:tcBorders>
              <w:top w:val="single" w:sz="4" w:space="0" w:color="auto"/>
              <w:left w:val="single" w:sz="4" w:space="0" w:color="auto"/>
              <w:bottom w:val="single" w:sz="4" w:space="0" w:color="auto"/>
              <w:right w:val="single" w:sz="4" w:space="0" w:color="auto"/>
            </w:tcBorders>
          </w:tcPr>
          <w:p w:rsidR="006E5555" w:rsidRDefault="006E5555">
            <w:pPr>
              <w:rPr>
                <w:rFonts w:ascii="仿宋" w:eastAsia="仿宋" w:hAnsi="仿宋" w:cs="仿宋"/>
                <w:sz w:val="2"/>
                <w:szCs w:val="2"/>
              </w:rPr>
            </w:pPr>
          </w:p>
        </w:tc>
        <w:tc>
          <w:tcPr>
            <w:tcW w:w="2332" w:type="dxa"/>
            <w:vMerge/>
            <w:tcBorders>
              <w:top w:val="single" w:sz="4" w:space="0" w:color="auto"/>
              <w:left w:val="single" w:sz="4" w:space="0" w:color="auto"/>
              <w:bottom w:val="single" w:sz="4" w:space="0" w:color="auto"/>
              <w:right w:val="single" w:sz="4" w:space="0" w:color="auto"/>
            </w:tcBorders>
          </w:tcPr>
          <w:p w:rsidR="006E5555" w:rsidRDefault="006E5555">
            <w:pPr>
              <w:rPr>
                <w:rFonts w:ascii="仿宋" w:eastAsia="仿宋" w:hAnsi="仿宋" w:cs="仿宋"/>
                <w:sz w:val="2"/>
                <w:szCs w:val="2"/>
              </w:rPr>
            </w:pPr>
          </w:p>
        </w:tc>
        <w:tc>
          <w:tcPr>
            <w:tcW w:w="2037"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rPr>
              <w:t>小计</w:t>
            </w:r>
          </w:p>
        </w:tc>
        <w:tc>
          <w:tcPr>
            <w:tcW w:w="1697"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公务用车购置费</w:t>
            </w:r>
          </w:p>
        </w:tc>
        <w:tc>
          <w:tcPr>
            <w:tcW w:w="1680"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公务用车运行</w:t>
            </w:r>
            <w:r>
              <w:rPr>
                <w:rFonts w:ascii="仿宋" w:eastAsia="仿宋" w:hAnsi="仿宋" w:cs="仿宋" w:hint="eastAsia"/>
                <w:lang w:val="en-US"/>
              </w:rPr>
              <w:t>维护</w:t>
            </w:r>
            <w:r>
              <w:rPr>
                <w:rFonts w:ascii="仿宋" w:eastAsia="仿宋" w:hAnsi="仿宋" w:cs="仿宋" w:hint="eastAsia"/>
              </w:rPr>
              <w:t>费</w:t>
            </w:r>
          </w:p>
        </w:tc>
        <w:tc>
          <w:tcPr>
            <w:tcW w:w="1852" w:type="dxa"/>
            <w:vMerge/>
            <w:tcBorders>
              <w:top w:val="single" w:sz="4" w:space="0" w:color="auto"/>
              <w:left w:val="single" w:sz="4" w:space="0" w:color="auto"/>
              <w:bottom w:val="single" w:sz="4" w:space="0" w:color="auto"/>
              <w:right w:val="single" w:sz="4" w:space="0" w:color="auto"/>
            </w:tcBorders>
          </w:tcPr>
          <w:p w:rsidR="006E5555" w:rsidRDefault="006E5555">
            <w:pPr>
              <w:rPr>
                <w:rFonts w:ascii="仿宋" w:eastAsia="仿宋" w:hAnsi="仿宋" w:cs="仿宋"/>
                <w:sz w:val="2"/>
                <w:szCs w:val="2"/>
              </w:rPr>
            </w:pPr>
          </w:p>
        </w:tc>
        <w:tc>
          <w:tcPr>
            <w:tcW w:w="2057" w:type="dxa"/>
            <w:vMerge/>
            <w:tcBorders>
              <w:top w:val="single" w:sz="4" w:space="0" w:color="auto"/>
              <w:left w:val="single" w:sz="4" w:space="0" w:color="auto"/>
              <w:bottom w:val="single" w:sz="4" w:space="0" w:color="auto"/>
              <w:right w:val="single" w:sz="4" w:space="0" w:color="auto"/>
            </w:tcBorders>
          </w:tcPr>
          <w:p w:rsidR="006E5555" w:rsidRDefault="006E5555">
            <w:pPr>
              <w:rPr>
                <w:rFonts w:ascii="仿宋" w:eastAsia="仿宋" w:hAnsi="仿宋" w:cs="仿宋"/>
                <w:sz w:val="2"/>
                <w:szCs w:val="2"/>
              </w:rPr>
            </w:pPr>
          </w:p>
        </w:tc>
        <w:tc>
          <w:tcPr>
            <w:tcW w:w="1783" w:type="dxa"/>
            <w:vMerge/>
            <w:tcBorders>
              <w:top w:val="single" w:sz="4" w:space="0" w:color="auto"/>
              <w:left w:val="single" w:sz="4" w:space="0" w:color="auto"/>
              <w:bottom w:val="single" w:sz="4" w:space="0" w:color="auto"/>
              <w:right w:val="single" w:sz="4" w:space="0" w:color="auto"/>
            </w:tcBorders>
          </w:tcPr>
          <w:p w:rsidR="006E5555" w:rsidRDefault="006E5555">
            <w:pPr>
              <w:rPr>
                <w:rFonts w:ascii="仿宋" w:eastAsia="仿宋" w:hAnsi="仿宋" w:cs="仿宋"/>
                <w:sz w:val="2"/>
                <w:szCs w:val="2"/>
              </w:rPr>
            </w:pPr>
          </w:p>
        </w:tc>
      </w:tr>
      <w:tr w:rsidR="006E5555">
        <w:trPr>
          <w:cantSplit/>
          <w:trHeight w:val="165"/>
        </w:trPr>
        <w:tc>
          <w:tcPr>
            <w:tcW w:w="2471"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1.73</w:t>
            </w:r>
          </w:p>
        </w:tc>
        <w:tc>
          <w:tcPr>
            <w:tcW w:w="2332"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0.00</w:t>
            </w:r>
          </w:p>
        </w:tc>
        <w:tc>
          <w:tcPr>
            <w:tcW w:w="2037"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0.00</w:t>
            </w:r>
          </w:p>
        </w:tc>
        <w:tc>
          <w:tcPr>
            <w:tcW w:w="1697"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0.00</w:t>
            </w:r>
          </w:p>
        </w:tc>
        <w:tc>
          <w:tcPr>
            <w:tcW w:w="1680"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0.00</w:t>
            </w:r>
          </w:p>
        </w:tc>
        <w:tc>
          <w:tcPr>
            <w:tcW w:w="1852"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1.73</w:t>
            </w:r>
          </w:p>
        </w:tc>
        <w:tc>
          <w:tcPr>
            <w:tcW w:w="2057"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0.35</w:t>
            </w:r>
          </w:p>
        </w:tc>
        <w:tc>
          <w:tcPr>
            <w:tcW w:w="1783"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1.40</w:t>
            </w:r>
          </w:p>
        </w:tc>
      </w:tr>
    </w:tbl>
    <w:p w:rsidR="006E5555" w:rsidRDefault="006E5555">
      <w:pPr>
        <w:ind w:left="227" w:firstLineChars="100" w:firstLine="221"/>
        <w:rPr>
          <w:rFonts w:ascii="仿宋" w:eastAsia="仿宋" w:hAnsi="仿宋" w:cs="仿宋"/>
          <w:b/>
          <w:bCs/>
        </w:rPr>
        <w:sectPr w:rsidR="006E5555">
          <w:footerReference w:type="default" r:id="rId20"/>
          <w:pgSz w:w="16838" w:h="11906" w:orient="landscape"/>
          <w:pgMar w:top="720" w:right="720" w:bottom="720" w:left="720" w:header="170" w:footer="280" w:gutter="0"/>
          <w:pgNumType w:fmt="numberInDash"/>
          <w:cols w:space="720"/>
          <w:formProt w:val="0"/>
          <w:docGrid w:linePitch="100"/>
        </w:sectPr>
      </w:pPr>
    </w:p>
    <w:tbl>
      <w:tblPr>
        <w:tblW w:w="10812" w:type="dxa"/>
        <w:tblInd w:w="-108" w:type="dxa"/>
        <w:tblLayout w:type="fixed"/>
        <w:tblCellMar>
          <w:top w:w="55" w:type="dxa"/>
          <w:left w:w="55" w:type="dxa"/>
          <w:bottom w:w="55" w:type="dxa"/>
          <w:right w:w="55" w:type="dxa"/>
        </w:tblCellMar>
        <w:tblLook w:val="04A0" w:firstRow="1" w:lastRow="0" w:firstColumn="1" w:lastColumn="0" w:noHBand="0" w:noVBand="1"/>
      </w:tblPr>
      <w:tblGrid>
        <w:gridCol w:w="1618"/>
        <w:gridCol w:w="2834"/>
        <w:gridCol w:w="1783"/>
        <w:gridCol w:w="2092"/>
        <w:gridCol w:w="2485"/>
      </w:tblGrid>
      <w:tr w:rsidR="006E5555">
        <w:trPr>
          <w:cantSplit/>
          <w:trHeight w:val="213"/>
        </w:trPr>
        <w:tc>
          <w:tcPr>
            <w:tcW w:w="10812" w:type="dxa"/>
            <w:gridSpan w:val="5"/>
            <w:tcBorders>
              <w:top w:val="nil"/>
              <w:left w:val="nil"/>
              <w:bottom w:val="nil"/>
              <w:right w:val="nil"/>
            </w:tcBorders>
            <w:vAlign w:val="center"/>
          </w:tcPr>
          <w:p w:rsidR="006E5555" w:rsidRDefault="00744F51">
            <w:pPr>
              <w:pStyle w:val="TableParagraph"/>
              <w:rPr>
                <w:rFonts w:ascii="仿宋" w:eastAsia="仿宋" w:hAnsi="仿宋" w:cs="仿宋"/>
              </w:rPr>
            </w:pPr>
            <w:r>
              <w:rPr>
                <w:rFonts w:ascii="仿宋" w:eastAsia="仿宋" w:hAnsi="仿宋" w:cs="仿宋" w:hint="eastAsia"/>
              </w:rPr>
              <w:lastRenderedPageBreak/>
              <w:t>公开</w:t>
            </w:r>
            <w:r>
              <w:rPr>
                <w:rFonts w:ascii="仿宋" w:eastAsia="仿宋" w:hAnsi="仿宋" w:cs="仿宋" w:hint="eastAsia"/>
                <w:lang w:val="en-US"/>
              </w:rPr>
              <w:t>10</w:t>
            </w:r>
            <w:r>
              <w:rPr>
                <w:rFonts w:ascii="仿宋" w:eastAsia="仿宋" w:hAnsi="仿宋" w:cs="仿宋" w:hint="eastAsia"/>
              </w:rPr>
              <w:t>表</w:t>
            </w:r>
          </w:p>
        </w:tc>
      </w:tr>
      <w:tr w:rsidR="006E5555">
        <w:trPr>
          <w:cantSplit/>
          <w:trHeight w:val="213"/>
        </w:trPr>
        <w:tc>
          <w:tcPr>
            <w:tcW w:w="10812" w:type="dxa"/>
            <w:gridSpan w:val="5"/>
            <w:tcBorders>
              <w:top w:val="nil"/>
              <w:left w:val="nil"/>
              <w:bottom w:val="nil"/>
              <w:right w:val="nil"/>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b/>
                <w:bCs/>
                <w:sz w:val="44"/>
                <w:szCs w:val="44"/>
              </w:rPr>
              <w:t>政府性基金预算支出表</w:t>
            </w:r>
          </w:p>
        </w:tc>
      </w:tr>
      <w:tr w:rsidR="006E5555">
        <w:trPr>
          <w:cantSplit/>
          <w:trHeight w:val="213"/>
        </w:trPr>
        <w:tc>
          <w:tcPr>
            <w:tcW w:w="8327" w:type="dxa"/>
            <w:gridSpan w:val="4"/>
            <w:tcBorders>
              <w:top w:val="nil"/>
              <w:left w:val="nil"/>
              <w:bottom w:val="single" w:sz="4" w:space="0" w:color="auto"/>
              <w:right w:val="nil"/>
            </w:tcBorders>
            <w:vAlign w:val="center"/>
          </w:tcPr>
          <w:p w:rsidR="006E5555" w:rsidRDefault="00744F51">
            <w:pPr>
              <w:pStyle w:val="TableParagraph"/>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2485" w:type="dxa"/>
            <w:tcBorders>
              <w:top w:val="nil"/>
              <w:left w:val="nil"/>
              <w:bottom w:val="single" w:sz="4" w:space="0" w:color="auto"/>
              <w:right w:val="nil"/>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单位：万元</w:t>
            </w:r>
          </w:p>
        </w:tc>
      </w:tr>
      <w:tr w:rsidR="006E5555">
        <w:trPr>
          <w:cantSplit/>
          <w:trHeight w:val="187"/>
        </w:trPr>
        <w:tc>
          <w:tcPr>
            <w:tcW w:w="1618" w:type="dxa"/>
            <w:vMerge w:val="restart"/>
            <w:tcBorders>
              <w:top w:val="single" w:sz="4" w:space="0" w:color="auto"/>
              <w:left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科目编码</w:t>
            </w:r>
          </w:p>
        </w:tc>
        <w:tc>
          <w:tcPr>
            <w:tcW w:w="2834" w:type="dxa"/>
            <w:vMerge w:val="restart"/>
            <w:tcBorders>
              <w:top w:val="single" w:sz="4" w:space="0" w:color="auto"/>
              <w:left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科目名称</w:t>
            </w:r>
          </w:p>
        </w:tc>
        <w:tc>
          <w:tcPr>
            <w:tcW w:w="6360" w:type="dxa"/>
            <w:gridSpan w:val="3"/>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本年政府性基金预算支出</w:t>
            </w:r>
          </w:p>
        </w:tc>
      </w:tr>
      <w:tr w:rsidR="006E5555">
        <w:trPr>
          <w:cantSplit/>
          <w:trHeight w:val="139"/>
        </w:trPr>
        <w:tc>
          <w:tcPr>
            <w:tcW w:w="1618" w:type="dxa"/>
            <w:vMerge/>
            <w:tcBorders>
              <w:left w:val="single" w:sz="4" w:space="0" w:color="auto"/>
              <w:bottom w:val="single" w:sz="4" w:space="0" w:color="auto"/>
              <w:right w:val="single" w:sz="4" w:space="0" w:color="auto"/>
            </w:tcBorders>
            <w:vAlign w:val="center"/>
          </w:tcPr>
          <w:p w:rsidR="006E5555" w:rsidRDefault="006E5555">
            <w:pPr>
              <w:pStyle w:val="TableParagraph"/>
              <w:jc w:val="center"/>
              <w:rPr>
                <w:rFonts w:ascii="仿宋" w:eastAsia="仿宋" w:hAnsi="仿宋" w:cs="仿宋"/>
              </w:rPr>
            </w:pPr>
          </w:p>
        </w:tc>
        <w:tc>
          <w:tcPr>
            <w:tcW w:w="2834" w:type="dxa"/>
            <w:vMerge/>
            <w:tcBorders>
              <w:left w:val="single" w:sz="4" w:space="0" w:color="auto"/>
              <w:bottom w:val="single" w:sz="4" w:space="0" w:color="auto"/>
              <w:right w:val="single" w:sz="4" w:space="0" w:color="auto"/>
            </w:tcBorders>
            <w:vAlign w:val="center"/>
          </w:tcPr>
          <w:p w:rsidR="006E5555" w:rsidRDefault="006E5555">
            <w:pPr>
              <w:pStyle w:val="TableParagraph"/>
              <w:jc w:val="center"/>
              <w:rPr>
                <w:rFonts w:ascii="仿宋" w:eastAsia="仿宋" w:hAnsi="仿宋" w:cs="仿宋"/>
              </w:rPr>
            </w:pPr>
          </w:p>
        </w:tc>
        <w:tc>
          <w:tcPr>
            <w:tcW w:w="1783"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lang w:val="en-US"/>
              </w:rPr>
            </w:pPr>
            <w:r>
              <w:rPr>
                <w:rFonts w:ascii="仿宋" w:eastAsia="仿宋" w:hAnsi="仿宋" w:cs="仿宋" w:hint="eastAsia"/>
                <w:lang w:val="en-US"/>
              </w:rPr>
              <w:t>合计</w:t>
            </w:r>
          </w:p>
        </w:tc>
        <w:tc>
          <w:tcPr>
            <w:tcW w:w="2092"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基本支出</w:t>
            </w:r>
          </w:p>
        </w:tc>
        <w:tc>
          <w:tcPr>
            <w:tcW w:w="2485"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项目支出</w:t>
            </w:r>
          </w:p>
        </w:tc>
      </w:tr>
      <w:tr w:rsidR="006E5555">
        <w:trPr>
          <w:cantSplit/>
          <w:trHeight w:val="462"/>
        </w:trPr>
        <w:tc>
          <w:tcPr>
            <w:tcW w:w="1618" w:type="dxa"/>
            <w:tcBorders>
              <w:top w:val="single" w:sz="4" w:space="0" w:color="auto"/>
              <w:left w:val="single" w:sz="4" w:space="0" w:color="auto"/>
              <w:bottom w:val="single" w:sz="4" w:space="0" w:color="auto"/>
              <w:right w:val="single" w:sz="4" w:space="0" w:color="auto"/>
            </w:tcBorders>
            <w:vAlign w:val="center"/>
          </w:tcPr>
          <w:p w:rsidR="006E5555" w:rsidRDefault="006E5555">
            <w:pPr>
              <w:pStyle w:val="TableParagraph"/>
              <w:jc w:val="center"/>
              <w:rPr>
                <w:rFonts w:ascii="仿宋" w:eastAsia="仿宋" w:hAnsi="仿宋" w:cs="仿宋"/>
              </w:rPr>
            </w:pPr>
          </w:p>
        </w:tc>
        <w:tc>
          <w:tcPr>
            <w:tcW w:w="2834" w:type="dxa"/>
            <w:tcBorders>
              <w:top w:val="single" w:sz="4" w:space="0" w:color="auto"/>
              <w:left w:val="single" w:sz="4" w:space="0" w:color="auto"/>
              <w:bottom w:val="single" w:sz="4" w:space="0" w:color="auto"/>
              <w:right w:val="single" w:sz="4" w:space="0" w:color="auto"/>
            </w:tcBorders>
            <w:vAlign w:val="center"/>
          </w:tcPr>
          <w:p w:rsidR="006E5555" w:rsidRDefault="00744F51">
            <w:pPr>
              <w:pStyle w:val="TableParagraph"/>
              <w:jc w:val="center"/>
              <w:rPr>
                <w:rFonts w:ascii="仿宋" w:eastAsia="仿宋" w:hAnsi="仿宋" w:cs="仿宋"/>
                <w:lang w:val="en-US"/>
              </w:rPr>
            </w:pPr>
            <w:r>
              <w:rPr>
                <w:rFonts w:ascii="仿宋" w:eastAsia="仿宋" w:hAnsi="仿宋" w:cs="仿宋" w:hint="eastAsia"/>
                <w:lang w:val="en-US"/>
              </w:rPr>
              <w:t>合计</w:t>
            </w:r>
          </w:p>
        </w:tc>
        <w:tc>
          <w:tcPr>
            <w:tcW w:w="1783"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5,000.00</w:t>
            </w:r>
          </w:p>
        </w:tc>
        <w:tc>
          <w:tcPr>
            <w:tcW w:w="2092" w:type="dxa"/>
            <w:tcBorders>
              <w:top w:val="single" w:sz="4" w:space="0" w:color="auto"/>
              <w:left w:val="single" w:sz="4" w:space="0" w:color="auto"/>
              <w:bottom w:val="single" w:sz="4" w:space="0" w:color="auto"/>
              <w:right w:val="single" w:sz="4" w:space="0" w:color="auto"/>
            </w:tcBorders>
            <w:vAlign w:val="center"/>
          </w:tcPr>
          <w:p w:rsidR="006E5555" w:rsidRDefault="006E5555">
            <w:pPr>
              <w:jc w:val="right"/>
              <w:rPr>
                <w:rFonts w:ascii="仿宋" w:eastAsia="仿宋" w:hAnsi="仿宋" w:cs="仿宋"/>
              </w:rPr>
            </w:pPr>
          </w:p>
        </w:tc>
        <w:tc>
          <w:tcPr>
            <w:tcW w:w="2485"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5,000.00</w:t>
            </w:r>
          </w:p>
        </w:tc>
      </w:tr>
      <w:tr w:rsidR="006E5555">
        <w:trPr>
          <w:cantSplit/>
          <w:trHeight w:val="250"/>
        </w:trPr>
        <w:tc>
          <w:tcPr>
            <w:tcW w:w="1618" w:type="dxa"/>
            <w:tcBorders>
              <w:top w:val="single" w:sz="4" w:space="0" w:color="auto"/>
              <w:left w:val="single" w:sz="4" w:space="0" w:color="auto"/>
              <w:bottom w:val="single" w:sz="4" w:space="0" w:color="auto"/>
              <w:right w:val="single" w:sz="4" w:space="0" w:color="auto"/>
            </w:tcBorders>
            <w:vAlign w:val="center"/>
          </w:tcPr>
          <w:p w:rsidR="006E5555" w:rsidRDefault="00744F51">
            <w:pPr>
              <w:rPr>
                <w:rFonts w:ascii="仿宋" w:eastAsia="仿宋" w:hAnsi="仿宋" w:cs="仿宋"/>
              </w:rPr>
            </w:pPr>
            <w:r>
              <w:rPr>
                <w:rFonts w:ascii="仿宋" w:eastAsia="仿宋" w:hAnsi="仿宋" w:cs="仿宋" w:hint="eastAsia"/>
              </w:rPr>
              <w:t>212</w:t>
            </w:r>
          </w:p>
        </w:tc>
        <w:tc>
          <w:tcPr>
            <w:tcW w:w="2834" w:type="dxa"/>
            <w:tcBorders>
              <w:top w:val="single" w:sz="4" w:space="0" w:color="auto"/>
              <w:left w:val="single" w:sz="4" w:space="0" w:color="auto"/>
              <w:bottom w:val="single" w:sz="4" w:space="0" w:color="auto"/>
              <w:right w:val="single" w:sz="4" w:space="0" w:color="auto"/>
            </w:tcBorders>
            <w:vAlign w:val="center"/>
          </w:tcPr>
          <w:p w:rsidR="006E5555" w:rsidRDefault="00744F51">
            <w:pPr>
              <w:rPr>
                <w:rFonts w:ascii="仿宋" w:eastAsia="仿宋" w:hAnsi="仿宋" w:cs="仿宋"/>
              </w:rPr>
            </w:pPr>
            <w:r>
              <w:rPr>
                <w:rFonts w:ascii="仿宋" w:eastAsia="仿宋" w:hAnsi="仿宋" w:cs="仿宋" w:hint="eastAsia"/>
              </w:rPr>
              <w:t>城乡社区支出</w:t>
            </w:r>
          </w:p>
        </w:tc>
        <w:tc>
          <w:tcPr>
            <w:tcW w:w="1783"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5,000.00</w:t>
            </w:r>
          </w:p>
        </w:tc>
        <w:tc>
          <w:tcPr>
            <w:tcW w:w="2092" w:type="dxa"/>
            <w:tcBorders>
              <w:top w:val="single" w:sz="4" w:space="0" w:color="auto"/>
              <w:left w:val="single" w:sz="4" w:space="0" w:color="auto"/>
              <w:bottom w:val="single" w:sz="4" w:space="0" w:color="auto"/>
              <w:right w:val="single" w:sz="4" w:space="0" w:color="auto"/>
            </w:tcBorders>
            <w:vAlign w:val="center"/>
          </w:tcPr>
          <w:p w:rsidR="006E5555" w:rsidRDefault="006E5555">
            <w:pPr>
              <w:jc w:val="right"/>
              <w:rPr>
                <w:rFonts w:ascii="仿宋" w:eastAsia="仿宋" w:hAnsi="仿宋" w:cs="仿宋"/>
              </w:rPr>
            </w:pPr>
          </w:p>
        </w:tc>
        <w:tc>
          <w:tcPr>
            <w:tcW w:w="2485"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5,000.00</w:t>
            </w:r>
          </w:p>
        </w:tc>
      </w:tr>
      <w:tr w:rsidR="006E5555">
        <w:trPr>
          <w:cantSplit/>
          <w:trHeight w:val="250"/>
        </w:trPr>
        <w:tc>
          <w:tcPr>
            <w:tcW w:w="1618" w:type="dxa"/>
            <w:tcBorders>
              <w:top w:val="single" w:sz="4" w:space="0" w:color="auto"/>
              <w:left w:val="single" w:sz="4" w:space="0" w:color="auto"/>
              <w:bottom w:val="single" w:sz="4" w:space="0" w:color="auto"/>
              <w:right w:val="single" w:sz="4" w:space="0" w:color="auto"/>
            </w:tcBorders>
            <w:vAlign w:val="center"/>
          </w:tcPr>
          <w:p w:rsidR="006E5555" w:rsidRDefault="00744F51">
            <w:pPr>
              <w:rPr>
                <w:rFonts w:ascii="仿宋" w:eastAsia="仿宋" w:hAnsi="仿宋" w:cs="仿宋"/>
              </w:rPr>
            </w:pPr>
            <w:r>
              <w:rPr>
                <w:rFonts w:ascii="仿宋" w:eastAsia="仿宋" w:hAnsi="仿宋" w:cs="仿宋" w:hint="eastAsia"/>
              </w:rPr>
              <w:t xml:space="preserve">  21208</w:t>
            </w:r>
          </w:p>
        </w:tc>
        <w:tc>
          <w:tcPr>
            <w:tcW w:w="2834" w:type="dxa"/>
            <w:tcBorders>
              <w:top w:val="single" w:sz="4" w:space="0" w:color="auto"/>
              <w:left w:val="single" w:sz="4" w:space="0" w:color="auto"/>
              <w:bottom w:val="single" w:sz="4" w:space="0" w:color="auto"/>
              <w:right w:val="single" w:sz="4" w:space="0" w:color="auto"/>
            </w:tcBorders>
            <w:vAlign w:val="center"/>
          </w:tcPr>
          <w:p w:rsidR="006E5555" w:rsidRDefault="00744F51">
            <w:pPr>
              <w:rPr>
                <w:rFonts w:ascii="仿宋" w:eastAsia="仿宋" w:hAnsi="仿宋" w:cs="仿宋"/>
              </w:rPr>
            </w:pPr>
            <w:r>
              <w:rPr>
                <w:rFonts w:ascii="仿宋" w:eastAsia="仿宋" w:hAnsi="仿宋" w:cs="仿宋" w:hint="eastAsia"/>
              </w:rPr>
              <w:t>国有土地使用权出让收入安排的支出</w:t>
            </w:r>
          </w:p>
        </w:tc>
        <w:tc>
          <w:tcPr>
            <w:tcW w:w="1783"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5,000.00</w:t>
            </w:r>
          </w:p>
        </w:tc>
        <w:tc>
          <w:tcPr>
            <w:tcW w:w="2092" w:type="dxa"/>
            <w:tcBorders>
              <w:top w:val="single" w:sz="4" w:space="0" w:color="auto"/>
              <w:left w:val="single" w:sz="4" w:space="0" w:color="auto"/>
              <w:bottom w:val="single" w:sz="4" w:space="0" w:color="auto"/>
              <w:right w:val="single" w:sz="4" w:space="0" w:color="auto"/>
            </w:tcBorders>
            <w:vAlign w:val="center"/>
          </w:tcPr>
          <w:p w:rsidR="006E5555" w:rsidRDefault="006E5555">
            <w:pPr>
              <w:jc w:val="right"/>
              <w:rPr>
                <w:rFonts w:ascii="仿宋" w:eastAsia="仿宋" w:hAnsi="仿宋" w:cs="仿宋"/>
              </w:rPr>
            </w:pPr>
          </w:p>
        </w:tc>
        <w:tc>
          <w:tcPr>
            <w:tcW w:w="2485"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5,000.00</w:t>
            </w:r>
          </w:p>
        </w:tc>
      </w:tr>
      <w:tr w:rsidR="006E5555">
        <w:trPr>
          <w:cantSplit/>
          <w:trHeight w:val="250"/>
        </w:trPr>
        <w:tc>
          <w:tcPr>
            <w:tcW w:w="1618" w:type="dxa"/>
            <w:tcBorders>
              <w:top w:val="single" w:sz="4" w:space="0" w:color="auto"/>
              <w:left w:val="single" w:sz="4" w:space="0" w:color="auto"/>
              <w:bottom w:val="single" w:sz="4" w:space="0" w:color="auto"/>
              <w:right w:val="single" w:sz="4" w:space="0" w:color="auto"/>
            </w:tcBorders>
            <w:vAlign w:val="center"/>
          </w:tcPr>
          <w:p w:rsidR="006E5555" w:rsidRDefault="00744F51">
            <w:pPr>
              <w:rPr>
                <w:rFonts w:ascii="仿宋" w:eastAsia="仿宋" w:hAnsi="仿宋" w:cs="仿宋"/>
              </w:rPr>
            </w:pPr>
            <w:r>
              <w:rPr>
                <w:rFonts w:ascii="仿宋" w:eastAsia="仿宋" w:hAnsi="仿宋" w:cs="仿宋" w:hint="eastAsia"/>
              </w:rPr>
              <w:t xml:space="preserve">    2120814</w:t>
            </w:r>
          </w:p>
        </w:tc>
        <w:tc>
          <w:tcPr>
            <w:tcW w:w="2834" w:type="dxa"/>
            <w:tcBorders>
              <w:top w:val="single" w:sz="4" w:space="0" w:color="auto"/>
              <w:left w:val="single" w:sz="4" w:space="0" w:color="auto"/>
              <w:bottom w:val="single" w:sz="4" w:space="0" w:color="auto"/>
              <w:right w:val="single" w:sz="4" w:space="0" w:color="auto"/>
            </w:tcBorders>
            <w:vAlign w:val="center"/>
          </w:tcPr>
          <w:p w:rsidR="006E5555" w:rsidRDefault="00744F51">
            <w:pPr>
              <w:rPr>
                <w:rFonts w:ascii="仿宋" w:eastAsia="仿宋" w:hAnsi="仿宋" w:cs="仿宋"/>
              </w:rPr>
            </w:pPr>
            <w:r>
              <w:rPr>
                <w:rFonts w:ascii="仿宋" w:eastAsia="仿宋" w:hAnsi="仿宋" w:cs="仿宋" w:hint="eastAsia"/>
              </w:rPr>
              <w:t>农业生产发展支出</w:t>
            </w:r>
          </w:p>
        </w:tc>
        <w:tc>
          <w:tcPr>
            <w:tcW w:w="1783"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3,500.00</w:t>
            </w:r>
          </w:p>
        </w:tc>
        <w:tc>
          <w:tcPr>
            <w:tcW w:w="2092" w:type="dxa"/>
            <w:tcBorders>
              <w:top w:val="single" w:sz="4" w:space="0" w:color="auto"/>
              <w:left w:val="single" w:sz="4" w:space="0" w:color="auto"/>
              <w:bottom w:val="single" w:sz="4" w:space="0" w:color="auto"/>
              <w:right w:val="single" w:sz="4" w:space="0" w:color="auto"/>
            </w:tcBorders>
            <w:vAlign w:val="center"/>
          </w:tcPr>
          <w:p w:rsidR="006E5555" w:rsidRDefault="006E5555">
            <w:pPr>
              <w:jc w:val="right"/>
              <w:rPr>
                <w:rFonts w:ascii="仿宋" w:eastAsia="仿宋" w:hAnsi="仿宋" w:cs="仿宋"/>
              </w:rPr>
            </w:pPr>
          </w:p>
        </w:tc>
        <w:tc>
          <w:tcPr>
            <w:tcW w:w="2485"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3,500.00</w:t>
            </w:r>
          </w:p>
        </w:tc>
      </w:tr>
      <w:tr w:rsidR="006E5555">
        <w:trPr>
          <w:cantSplit/>
          <w:trHeight w:val="250"/>
        </w:trPr>
        <w:tc>
          <w:tcPr>
            <w:tcW w:w="1618" w:type="dxa"/>
            <w:tcBorders>
              <w:top w:val="single" w:sz="4" w:space="0" w:color="auto"/>
              <w:left w:val="single" w:sz="4" w:space="0" w:color="auto"/>
              <w:bottom w:val="single" w:sz="4" w:space="0" w:color="auto"/>
              <w:right w:val="single" w:sz="4" w:space="0" w:color="auto"/>
            </w:tcBorders>
            <w:vAlign w:val="center"/>
          </w:tcPr>
          <w:p w:rsidR="006E5555" w:rsidRDefault="00744F51">
            <w:pPr>
              <w:rPr>
                <w:rFonts w:ascii="仿宋" w:eastAsia="仿宋" w:hAnsi="仿宋" w:cs="仿宋"/>
              </w:rPr>
            </w:pPr>
            <w:r>
              <w:rPr>
                <w:rFonts w:ascii="仿宋" w:eastAsia="仿宋" w:hAnsi="仿宋" w:cs="仿宋" w:hint="eastAsia"/>
              </w:rPr>
              <w:t xml:space="preserve">    2120816</w:t>
            </w:r>
          </w:p>
        </w:tc>
        <w:tc>
          <w:tcPr>
            <w:tcW w:w="2834" w:type="dxa"/>
            <w:tcBorders>
              <w:top w:val="single" w:sz="4" w:space="0" w:color="auto"/>
              <w:left w:val="single" w:sz="4" w:space="0" w:color="auto"/>
              <w:bottom w:val="single" w:sz="4" w:space="0" w:color="auto"/>
              <w:right w:val="single" w:sz="4" w:space="0" w:color="auto"/>
            </w:tcBorders>
            <w:vAlign w:val="center"/>
          </w:tcPr>
          <w:p w:rsidR="006E5555" w:rsidRDefault="00744F51">
            <w:pPr>
              <w:rPr>
                <w:rFonts w:ascii="仿宋" w:eastAsia="仿宋" w:hAnsi="仿宋" w:cs="仿宋"/>
              </w:rPr>
            </w:pPr>
            <w:r>
              <w:rPr>
                <w:rFonts w:ascii="仿宋" w:eastAsia="仿宋" w:hAnsi="仿宋" w:cs="仿宋" w:hint="eastAsia"/>
              </w:rPr>
              <w:t>农业农村生态环境支出</w:t>
            </w:r>
          </w:p>
        </w:tc>
        <w:tc>
          <w:tcPr>
            <w:tcW w:w="1783"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1,500.00</w:t>
            </w:r>
          </w:p>
        </w:tc>
        <w:tc>
          <w:tcPr>
            <w:tcW w:w="2092" w:type="dxa"/>
            <w:tcBorders>
              <w:top w:val="single" w:sz="4" w:space="0" w:color="auto"/>
              <w:left w:val="single" w:sz="4" w:space="0" w:color="auto"/>
              <w:bottom w:val="single" w:sz="4" w:space="0" w:color="auto"/>
              <w:right w:val="single" w:sz="4" w:space="0" w:color="auto"/>
            </w:tcBorders>
            <w:vAlign w:val="center"/>
          </w:tcPr>
          <w:p w:rsidR="006E5555" w:rsidRDefault="006E5555">
            <w:pPr>
              <w:jc w:val="right"/>
              <w:rPr>
                <w:rFonts w:ascii="仿宋" w:eastAsia="仿宋" w:hAnsi="仿宋" w:cs="仿宋"/>
              </w:rPr>
            </w:pPr>
          </w:p>
        </w:tc>
        <w:tc>
          <w:tcPr>
            <w:tcW w:w="2485" w:type="dxa"/>
            <w:tcBorders>
              <w:top w:val="single" w:sz="4" w:space="0" w:color="auto"/>
              <w:left w:val="single" w:sz="4" w:space="0" w:color="auto"/>
              <w:bottom w:val="single" w:sz="4" w:space="0" w:color="auto"/>
              <w:right w:val="single" w:sz="4" w:space="0" w:color="auto"/>
            </w:tcBorders>
            <w:vAlign w:val="center"/>
          </w:tcPr>
          <w:p w:rsidR="006E5555" w:rsidRDefault="00744F51">
            <w:pPr>
              <w:jc w:val="right"/>
              <w:rPr>
                <w:rFonts w:ascii="仿宋" w:eastAsia="仿宋" w:hAnsi="仿宋" w:cs="仿宋"/>
              </w:rPr>
            </w:pPr>
            <w:r>
              <w:rPr>
                <w:rFonts w:ascii="仿宋" w:eastAsia="仿宋" w:hAnsi="仿宋" w:cs="仿宋" w:hint="eastAsia"/>
              </w:rPr>
              <w:t>1,500.00</w:t>
            </w:r>
          </w:p>
        </w:tc>
      </w:tr>
    </w:tbl>
    <w:p w:rsidR="006E5555" w:rsidRDefault="006E5555">
      <w:pPr>
        <w:spacing w:before="25"/>
        <w:rPr>
          <w:rFonts w:ascii="仿宋" w:eastAsia="仿宋" w:hAnsi="仿宋" w:cs="仿宋"/>
          <w:b/>
          <w:bCs/>
          <w:lang w:val="en-US"/>
        </w:rPr>
        <w:sectPr w:rsidR="006E5555">
          <w:footerReference w:type="default" r:id="rId21"/>
          <w:pgSz w:w="11906" w:h="16838"/>
          <w:pgMar w:top="720" w:right="720" w:bottom="720" w:left="720" w:header="170" w:footer="280" w:gutter="0"/>
          <w:pgNumType w:fmt="numberInDash"/>
          <w:cols w:space="720"/>
          <w:formProt w:val="0"/>
          <w:docGrid w:linePitch="100"/>
        </w:sectPr>
      </w:pPr>
    </w:p>
    <w:tbl>
      <w:tblPr>
        <w:tblW w:w="14695" w:type="dxa"/>
        <w:jc w:val="center"/>
        <w:tblLayout w:type="fixed"/>
        <w:tblLook w:val="04A0" w:firstRow="1" w:lastRow="0" w:firstColumn="1" w:lastColumn="0" w:noHBand="0" w:noVBand="1"/>
      </w:tblPr>
      <w:tblGrid>
        <w:gridCol w:w="1596"/>
        <w:gridCol w:w="3803"/>
        <w:gridCol w:w="3111"/>
        <w:gridCol w:w="3094"/>
        <w:gridCol w:w="3091"/>
      </w:tblGrid>
      <w:tr w:rsidR="006E5555">
        <w:trPr>
          <w:cantSplit/>
          <w:trHeight w:val="447"/>
          <w:jc w:val="center"/>
        </w:trPr>
        <w:tc>
          <w:tcPr>
            <w:tcW w:w="14695" w:type="dxa"/>
            <w:gridSpan w:val="5"/>
            <w:tcBorders>
              <w:top w:val="nil"/>
              <w:left w:val="nil"/>
              <w:bottom w:val="nil"/>
              <w:right w:val="nil"/>
            </w:tcBorders>
            <w:shd w:val="clear" w:color="auto" w:fill="auto"/>
            <w:vAlign w:val="center"/>
          </w:tcPr>
          <w:p w:rsidR="006E5555" w:rsidRDefault="00744F51">
            <w:pPr>
              <w:widowControl/>
              <w:rPr>
                <w:rFonts w:ascii="仿宋" w:eastAsia="仿宋" w:hAnsi="仿宋" w:cs="仿宋"/>
              </w:rPr>
            </w:pPr>
            <w:r>
              <w:rPr>
                <w:rFonts w:ascii="仿宋" w:eastAsia="仿宋" w:hAnsi="仿宋" w:cs="仿宋" w:hint="eastAsia"/>
              </w:rPr>
              <w:lastRenderedPageBreak/>
              <w:t>公开</w:t>
            </w:r>
            <w:r>
              <w:rPr>
                <w:rFonts w:ascii="仿宋" w:eastAsia="仿宋" w:hAnsi="仿宋" w:cs="仿宋" w:hint="eastAsia"/>
              </w:rPr>
              <w:t>11</w:t>
            </w:r>
            <w:r>
              <w:rPr>
                <w:rFonts w:ascii="仿宋" w:eastAsia="仿宋" w:hAnsi="仿宋" w:cs="仿宋" w:hint="eastAsia"/>
              </w:rPr>
              <w:t>表</w:t>
            </w:r>
          </w:p>
        </w:tc>
      </w:tr>
      <w:tr w:rsidR="006E5555">
        <w:trPr>
          <w:cantSplit/>
          <w:trHeight w:val="960"/>
          <w:jc w:val="center"/>
        </w:trPr>
        <w:tc>
          <w:tcPr>
            <w:tcW w:w="14695" w:type="dxa"/>
            <w:gridSpan w:val="5"/>
            <w:tcBorders>
              <w:top w:val="nil"/>
              <w:left w:val="nil"/>
              <w:bottom w:val="nil"/>
              <w:right w:val="nil"/>
            </w:tcBorders>
            <w:shd w:val="clear" w:color="auto" w:fill="auto"/>
            <w:vAlign w:val="center"/>
          </w:tcPr>
          <w:p w:rsidR="006E5555" w:rsidRDefault="00744F51">
            <w:pPr>
              <w:widowControl/>
              <w:jc w:val="center"/>
              <w:rPr>
                <w:rFonts w:ascii="仿宋" w:eastAsia="仿宋" w:hAnsi="仿宋" w:cs="仿宋"/>
              </w:rPr>
            </w:pPr>
            <w:r>
              <w:rPr>
                <w:rFonts w:ascii="仿宋" w:eastAsia="仿宋" w:hAnsi="仿宋" w:cs="仿宋" w:hint="eastAsia"/>
                <w:b/>
                <w:bCs/>
                <w:sz w:val="44"/>
                <w:szCs w:val="44"/>
              </w:rPr>
              <w:t>国有资本经营预算支出预算表</w:t>
            </w:r>
          </w:p>
        </w:tc>
      </w:tr>
      <w:tr w:rsidR="006E5555">
        <w:trPr>
          <w:cantSplit/>
          <w:trHeight w:val="319"/>
          <w:jc w:val="center"/>
        </w:trPr>
        <w:tc>
          <w:tcPr>
            <w:tcW w:w="11604" w:type="dxa"/>
            <w:gridSpan w:val="4"/>
            <w:tcBorders>
              <w:top w:val="nil"/>
              <w:left w:val="nil"/>
              <w:bottom w:val="single" w:sz="4" w:space="0" w:color="auto"/>
              <w:right w:val="nil"/>
            </w:tcBorders>
            <w:shd w:val="clear" w:color="auto" w:fill="auto"/>
            <w:vAlign w:val="center"/>
          </w:tcPr>
          <w:p w:rsidR="006E5555" w:rsidRDefault="00744F51">
            <w:pPr>
              <w:widowControl/>
              <w:rPr>
                <w:rFonts w:ascii="仿宋" w:eastAsia="仿宋" w:hAnsi="仿宋" w:cs="仿宋"/>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3091" w:type="dxa"/>
            <w:tcBorders>
              <w:top w:val="nil"/>
              <w:left w:val="nil"/>
              <w:bottom w:val="nil"/>
              <w:right w:val="nil"/>
            </w:tcBorders>
            <w:shd w:val="clear" w:color="auto" w:fill="auto"/>
            <w:noWrap/>
            <w:vAlign w:val="center"/>
          </w:tcPr>
          <w:p w:rsidR="006E5555" w:rsidRDefault="00744F51">
            <w:pPr>
              <w:widowControl/>
              <w:jc w:val="right"/>
              <w:rPr>
                <w:rFonts w:ascii="仿宋" w:eastAsia="仿宋" w:hAnsi="仿宋" w:cs="仿宋"/>
              </w:rPr>
            </w:pPr>
            <w:r>
              <w:rPr>
                <w:rFonts w:ascii="仿宋" w:eastAsia="仿宋" w:hAnsi="仿宋" w:cs="仿宋" w:hint="eastAsia"/>
              </w:rPr>
              <w:t>单位：万元</w:t>
            </w:r>
          </w:p>
        </w:tc>
      </w:tr>
      <w:tr w:rsidR="006E5555">
        <w:trPr>
          <w:cantSplit/>
          <w:trHeight w:val="143"/>
          <w:jc w:val="center"/>
        </w:trPr>
        <w:tc>
          <w:tcPr>
            <w:tcW w:w="53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项</w:t>
            </w:r>
            <w:r>
              <w:rPr>
                <w:rFonts w:ascii="仿宋" w:eastAsia="仿宋" w:hAnsi="仿宋" w:cs="仿宋" w:hint="eastAsia"/>
              </w:rPr>
              <w:t xml:space="preserve">    </w:t>
            </w:r>
            <w:r>
              <w:rPr>
                <w:rFonts w:ascii="仿宋" w:eastAsia="仿宋" w:hAnsi="仿宋" w:cs="仿宋" w:hint="eastAsia"/>
              </w:rPr>
              <w:t>目</w:t>
            </w:r>
          </w:p>
        </w:tc>
        <w:tc>
          <w:tcPr>
            <w:tcW w:w="311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本年支出合计</w:t>
            </w:r>
          </w:p>
        </w:tc>
        <w:tc>
          <w:tcPr>
            <w:tcW w:w="30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基本支出</w:t>
            </w:r>
            <w:r>
              <w:rPr>
                <w:rFonts w:ascii="仿宋" w:eastAsia="仿宋" w:hAnsi="仿宋" w:cs="仿宋" w:hint="eastAsia"/>
              </w:rPr>
              <w:t xml:space="preserve">  </w:t>
            </w:r>
          </w:p>
        </w:tc>
        <w:tc>
          <w:tcPr>
            <w:tcW w:w="309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项目支出</w:t>
            </w:r>
          </w:p>
        </w:tc>
      </w:tr>
      <w:tr w:rsidR="006E5555">
        <w:trPr>
          <w:cantSplit/>
          <w:trHeight w:val="201"/>
          <w:jc w:val="center"/>
        </w:trPr>
        <w:tc>
          <w:tcPr>
            <w:tcW w:w="1596" w:type="dxa"/>
            <w:tcBorders>
              <w:top w:val="nil"/>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功能分类</w:t>
            </w:r>
          </w:p>
          <w:p w:rsidR="006E5555" w:rsidRDefault="00744F51">
            <w:pPr>
              <w:widowControl/>
              <w:spacing w:line="34" w:lineRule="atLeast"/>
              <w:jc w:val="center"/>
              <w:rPr>
                <w:rFonts w:ascii="仿宋" w:eastAsia="仿宋" w:hAnsi="仿宋" w:cs="仿宋"/>
              </w:rPr>
            </w:pPr>
            <w:r>
              <w:rPr>
                <w:rFonts w:ascii="仿宋" w:eastAsia="仿宋" w:hAnsi="仿宋" w:cs="仿宋" w:hint="eastAsia"/>
              </w:rPr>
              <w:t>科目编码</w:t>
            </w:r>
          </w:p>
        </w:tc>
        <w:tc>
          <w:tcPr>
            <w:tcW w:w="3803" w:type="dxa"/>
            <w:tcBorders>
              <w:top w:val="nil"/>
              <w:left w:val="nil"/>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科目名称</w:t>
            </w:r>
          </w:p>
        </w:tc>
        <w:tc>
          <w:tcPr>
            <w:tcW w:w="3111" w:type="dxa"/>
            <w:vMerge/>
            <w:tcBorders>
              <w:top w:val="single" w:sz="4" w:space="0" w:color="auto"/>
              <w:left w:val="single" w:sz="4" w:space="0" w:color="auto"/>
              <w:bottom w:val="single" w:sz="4" w:space="0" w:color="auto"/>
              <w:right w:val="single" w:sz="4" w:space="0" w:color="auto"/>
            </w:tcBorders>
            <w:vAlign w:val="center"/>
          </w:tcPr>
          <w:p w:rsidR="006E5555" w:rsidRDefault="006E5555">
            <w:pPr>
              <w:widowControl/>
              <w:spacing w:line="34" w:lineRule="atLeast"/>
              <w:rPr>
                <w:rFonts w:ascii="仿宋" w:eastAsia="仿宋" w:hAnsi="仿宋" w:cs="仿宋"/>
              </w:rPr>
            </w:pPr>
          </w:p>
        </w:tc>
        <w:tc>
          <w:tcPr>
            <w:tcW w:w="3094" w:type="dxa"/>
            <w:vMerge/>
            <w:tcBorders>
              <w:top w:val="single" w:sz="4" w:space="0" w:color="auto"/>
              <w:left w:val="single" w:sz="4" w:space="0" w:color="auto"/>
              <w:bottom w:val="single" w:sz="4" w:space="0" w:color="auto"/>
              <w:right w:val="single" w:sz="4" w:space="0" w:color="auto"/>
            </w:tcBorders>
            <w:vAlign w:val="center"/>
          </w:tcPr>
          <w:p w:rsidR="006E5555" w:rsidRDefault="006E5555">
            <w:pPr>
              <w:widowControl/>
              <w:spacing w:line="34" w:lineRule="atLeast"/>
              <w:rPr>
                <w:rFonts w:ascii="仿宋" w:eastAsia="仿宋" w:hAnsi="仿宋" w:cs="仿宋"/>
              </w:rPr>
            </w:pPr>
          </w:p>
        </w:tc>
        <w:tc>
          <w:tcPr>
            <w:tcW w:w="3091" w:type="dxa"/>
            <w:vMerge/>
            <w:tcBorders>
              <w:top w:val="single" w:sz="4" w:space="0" w:color="auto"/>
              <w:left w:val="single" w:sz="4" w:space="0" w:color="auto"/>
              <w:bottom w:val="single" w:sz="4" w:space="0" w:color="auto"/>
              <w:right w:val="single" w:sz="4" w:space="0" w:color="auto"/>
            </w:tcBorders>
            <w:vAlign w:val="center"/>
          </w:tcPr>
          <w:p w:rsidR="006E5555" w:rsidRDefault="006E5555">
            <w:pPr>
              <w:widowControl/>
              <w:spacing w:line="34" w:lineRule="atLeast"/>
              <w:rPr>
                <w:rFonts w:ascii="仿宋" w:eastAsia="仿宋" w:hAnsi="仿宋" w:cs="仿宋"/>
              </w:rPr>
            </w:pPr>
          </w:p>
        </w:tc>
      </w:tr>
      <w:tr w:rsidR="006E5555">
        <w:trPr>
          <w:cantSplit/>
          <w:trHeight w:val="90"/>
          <w:jc w:val="center"/>
        </w:trPr>
        <w:tc>
          <w:tcPr>
            <w:tcW w:w="53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栏次</w:t>
            </w:r>
          </w:p>
        </w:tc>
        <w:tc>
          <w:tcPr>
            <w:tcW w:w="3111"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1</w:t>
            </w:r>
          </w:p>
        </w:tc>
        <w:tc>
          <w:tcPr>
            <w:tcW w:w="3094"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2</w:t>
            </w:r>
          </w:p>
        </w:tc>
        <w:tc>
          <w:tcPr>
            <w:tcW w:w="3091"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3</w:t>
            </w:r>
          </w:p>
        </w:tc>
      </w:tr>
      <w:tr w:rsidR="006E5555">
        <w:trPr>
          <w:cantSplit/>
          <w:trHeight w:val="246"/>
          <w:jc w:val="center"/>
        </w:trPr>
        <w:tc>
          <w:tcPr>
            <w:tcW w:w="539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744F51">
            <w:pPr>
              <w:widowControl/>
              <w:spacing w:line="34" w:lineRule="atLeast"/>
              <w:jc w:val="center"/>
              <w:rPr>
                <w:rFonts w:ascii="仿宋" w:eastAsia="仿宋" w:hAnsi="仿宋" w:cs="仿宋"/>
              </w:rPr>
            </w:pPr>
            <w:r>
              <w:rPr>
                <w:rFonts w:ascii="仿宋" w:eastAsia="仿宋" w:hAnsi="仿宋" w:cs="仿宋" w:hint="eastAsia"/>
              </w:rPr>
              <w:t>合计</w:t>
            </w:r>
          </w:p>
        </w:tc>
        <w:tc>
          <w:tcPr>
            <w:tcW w:w="3111"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c>
          <w:tcPr>
            <w:tcW w:w="3094"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c>
          <w:tcPr>
            <w:tcW w:w="3091"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r>
      <w:tr w:rsidR="006E5555">
        <w:trPr>
          <w:cantSplit/>
          <w:trHeight w:val="90"/>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rPr>
                <w:rFonts w:ascii="仿宋" w:eastAsia="仿宋" w:hAnsi="仿宋" w:cs="仿宋"/>
              </w:rPr>
            </w:pPr>
          </w:p>
        </w:tc>
        <w:tc>
          <w:tcPr>
            <w:tcW w:w="3803"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rPr>
                <w:rFonts w:ascii="仿宋" w:eastAsia="仿宋" w:hAnsi="仿宋" w:cs="仿宋"/>
              </w:rPr>
            </w:pPr>
          </w:p>
        </w:tc>
        <w:tc>
          <w:tcPr>
            <w:tcW w:w="3111"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c>
          <w:tcPr>
            <w:tcW w:w="3094"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c>
          <w:tcPr>
            <w:tcW w:w="3091"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r>
      <w:tr w:rsidR="006E5555">
        <w:trPr>
          <w:cantSplit/>
          <w:trHeight w:val="90"/>
          <w:jc w:val="center"/>
        </w:trPr>
        <w:tc>
          <w:tcPr>
            <w:tcW w:w="1596"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rPr>
                <w:rFonts w:ascii="仿宋" w:eastAsia="仿宋" w:hAnsi="仿宋" w:cs="仿宋"/>
              </w:rPr>
            </w:pPr>
          </w:p>
        </w:tc>
        <w:tc>
          <w:tcPr>
            <w:tcW w:w="3803"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rPr>
                <w:rFonts w:ascii="仿宋" w:eastAsia="仿宋" w:hAnsi="仿宋" w:cs="仿宋"/>
              </w:rPr>
            </w:pPr>
          </w:p>
        </w:tc>
        <w:tc>
          <w:tcPr>
            <w:tcW w:w="3111"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c>
          <w:tcPr>
            <w:tcW w:w="3094"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c>
          <w:tcPr>
            <w:tcW w:w="3091" w:type="dxa"/>
            <w:tcBorders>
              <w:top w:val="single" w:sz="4" w:space="0" w:color="auto"/>
              <w:left w:val="single" w:sz="4" w:space="0" w:color="auto"/>
              <w:bottom w:val="single" w:sz="4" w:space="0" w:color="auto"/>
              <w:right w:val="single" w:sz="4" w:space="0" w:color="auto"/>
            </w:tcBorders>
            <w:shd w:val="clear" w:color="auto" w:fill="auto"/>
            <w:vAlign w:val="center"/>
          </w:tcPr>
          <w:p w:rsidR="006E5555" w:rsidRDefault="006E5555">
            <w:pPr>
              <w:widowControl/>
              <w:spacing w:line="34" w:lineRule="atLeast"/>
              <w:jc w:val="right"/>
              <w:rPr>
                <w:rFonts w:ascii="仿宋" w:eastAsia="仿宋" w:hAnsi="仿宋" w:cs="仿宋"/>
              </w:rPr>
            </w:pPr>
          </w:p>
        </w:tc>
      </w:tr>
    </w:tbl>
    <w:p w:rsidR="006E5555" w:rsidRDefault="00744F51">
      <w:pPr>
        <w:spacing w:before="25"/>
        <w:ind w:firstLineChars="200" w:firstLine="442"/>
        <w:rPr>
          <w:rFonts w:ascii="仿宋" w:eastAsia="仿宋" w:hAnsi="仿宋" w:cs="仿宋"/>
          <w:b/>
          <w:bCs/>
          <w:lang w:val="en-US"/>
        </w:rPr>
      </w:pPr>
      <w:r>
        <w:rPr>
          <w:rFonts w:ascii="仿宋" w:eastAsia="仿宋" w:hAnsi="仿宋" w:cs="仿宋"/>
          <w:b/>
        </w:rPr>
        <w:t>注：本单位无</w:t>
      </w:r>
      <w:r>
        <w:rPr>
          <w:rFonts w:ascii="仿宋" w:eastAsia="仿宋" w:hAnsi="仿宋" w:cs="仿宋" w:hint="eastAsia"/>
          <w:b/>
          <w:bCs/>
        </w:rPr>
        <w:t>国有资本经营预算支出</w:t>
      </w:r>
      <w:r>
        <w:rPr>
          <w:rFonts w:ascii="仿宋" w:eastAsia="仿宋" w:hAnsi="仿宋" w:cs="仿宋" w:hint="eastAsia"/>
          <w:b/>
          <w:bCs/>
          <w:lang w:val="en-US"/>
        </w:rPr>
        <w:t>，故本表无数据。</w:t>
      </w:r>
    </w:p>
    <w:p w:rsidR="006E5555" w:rsidRDefault="006E5555">
      <w:pPr>
        <w:spacing w:before="25"/>
        <w:rPr>
          <w:rFonts w:ascii="仿宋" w:eastAsia="仿宋" w:hAnsi="仿宋" w:cs="仿宋"/>
          <w:b/>
          <w:bCs/>
          <w:lang w:val="en-US"/>
        </w:rPr>
        <w:sectPr w:rsidR="006E5555">
          <w:pgSz w:w="16838" w:h="11906" w:orient="landscape"/>
          <w:pgMar w:top="720" w:right="720" w:bottom="720" w:left="720" w:header="170" w:footer="280" w:gutter="0"/>
          <w:pgNumType w:fmt="numberInDash"/>
          <w:cols w:space="720"/>
          <w:formProt w:val="0"/>
          <w:docGrid w:linePitch="100"/>
        </w:sectPr>
      </w:pPr>
    </w:p>
    <w:tbl>
      <w:tblPr>
        <w:tblW w:w="10235" w:type="dxa"/>
        <w:tblInd w:w="-403" w:type="dxa"/>
        <w:tblLayout w:type="fixed"/>
        <w:tblCellMar>
          <w:top w:w="55" w:type="dxa"/>
          <w:left w:w="55" w:type="dxa"/>
          <w:bottom w:w="55" w:type="dxa"/>
          <w:right w:w="55" w:type="dxa"/>
        </w:tblCellMar>
        <w:tblLook w:val="04A0" w:firstRow="1" w:lastRow="0" w:firstColumn="1" w:lastColumn="0" w:noHBand="0" w:noVBand="1"/>
      </w:tblPr>
      <w:tblGrid>
        <w:gridCol w:w="3088"/>
        <w:gridCol w:w="2876"/>
        <w:gridCol w:w="1920"/>
        <w:gridCol w:w="2351"/>
      </w:tblGrid>
      <w:tr w:rsidR="006E5555">
        <w:trPr>
          <w:cantSplit/>
          <w:trHeight w:val="319"/>
        </w:trPr>
        <w:tc>
          <w:tcPr>
            <w:tcW w:w="10235" w:type="dxa"/>
            <w:gridSpan w:val="4"/>
          </w:tcPr>
          <w:p w:rsidR="006E5555" w:rsidRDefault="00744F51">
            <w:pPr>
              <w:pStyle w:val="TableParagraph"/>
              <w:tabs>
                <w:tab w:val="left" w:pos="610"/>
              </w:tabs>
              <w:spacing w:before="28"/>
              <w:ind w:left="8"/>
              <w:rPr>
                <w:rFonts w:ascii="仿宋" w:eastAsia="仿宋" w:hAnsi="仿宋" w:cs="仿宋"/>
                <w:b/>
                <w:bCs/>
                <w:sz w:val="44"/>
                <w:szCs w:val="44"/>
              </w:rPr>
            </w:pPr>
            <w:r>
              <w:rPr>
                <w:rFonts w:ascii="仿宋" w:eastAsia="仿宋" w:hAnsi="仿宋" w:cs="仿宋" w:hint="eastAsia"/>
              </w:rPr>
              <w:lastRenderedPageBreak/>
              <w:t>公开</w:t>
            </w:r>
            <w:r>
              <w:rPr>
                <w:rFonts w:ascii="仿宋" w:eastAsia="仿宋" w:hAnsi="仿宋" w:cs="仿宋" w:hint="eastAsia"/>
              </w:rPr>
              <w:t>1</w:t>
            </w:r>
            <w:r>
              <w:rPr>
                <w:rFonts w:ascii="仿宋" w:eastAsia="仿宋" w:hAnsi="仿宋" w:cs="仿宋" w:hint="eastAsia"/>
                <w:lang w:val="en-US"/>
              </w:rPr>
              <w:t>2</w:t>
            </w:r>
            <w:r>
              <w:rPr>
                <w:rFonts w:ascii="仿宋" w:eastAsia="仿宋" w:hAnsi="仿宋" w:cs="仿宋" w:hint="eastAsia"/>
              </w:rPr>
              <w:t>表</w:t>
            </w:r>
          </w:p>
        </w:tc>
      </w:tr>
      <w:tr w:rsidR="006E5555">
        <w:trPr>
          <w:cantSplit/>
          <w:trHeight w:val="90"/>
        </w:trPr>
        <w:tc>
          <w:tcPr>
            <w:tcW w:w="10235" w:type="dxa"/>
            <w:gridSpan w:val="4"/>
          </w:tcPr>
          <w:p w:rsidR="006E5555" w:rsidRDefault="00744F51">
            <w:pPr>
              <w:pStyle w:val="TableParagraph"/>
              <w:jc w:val="center"/>
              <w:rPr>
                <w:rFonts w:ascii="仿宋" w:eastAsia="仿宋" w:hAnsi="仿宋" w:cs="仿宋"/>
              </w:rPr>
            </w:pPr>
            <w:r>
              <w:rPr>
                <w:rFonts w:ascii="仿宋" w:eastAsia="仿宋" w:hAnsi="仿宋" w:cs="仿宋" w:hint="eastAsia"/>
                <w:b/>
                <w:bCs/>
                <w:sz w:val="44"/>
                <w:szCs w:val="44"/>
              </w:rPr>
              <w:t>一般公共预算机关运行经费支出预算表</w:t>
            </w:r>
          </w:p>
        </w:tc>
      </w:tr>
      <w:tr w:rsidR="006E5555">
        <w:trPr>
          <w:cantSplit/>
          <w:trHeight w:val="90"/>
        </w:trPr>
        <w:tc>
          <w:tcPr>
            <w:tcW w:w="7884" w:type="dxa"/>
            <w:gridSpan w:val="3"/>
            <w:tcBorders>
              <w:bottom w:val="single" w:sz="4" w:space="0" w:color="auto"/>
            </w:tcBorders>
            <w:vAlign w:val="center"/>
          </w:tcPr>
          <w:p w:rsidR="006E5555" w:rsidRDefault="00744F51">
            <w:pPr>
              <w:pStyle w:val="TableParagraph"/>
              <w:rPr>
                <w:rFonts w:ascii="仿宋" w:eastAsia="仿宋" w:hAnsi="仿宋" w:cs="仿宋"/>
                <w:sz w:val="20"/>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2351" w:type="dxa"/>
            <w:tcBorders>
              <w:bottom w:val="single" w:sz="4" w:space="0" w:color="auto"/>
            </w:tcBorders>
            <w:vAlign w:val="center"/>
          </w:tcPr>
          <w:p w:rsidR="006E5555" w:rsidRDefault="00744F51">
            <w:pPr>
              <w:pStyle w:val="TableParagraph"/>
              <w:jc w:val="right"/>
              <w:rPr>
                <w:rFonts w:ascii="仿宋" w:eastAsia="仿宋" w:hAnsi="仿宋" w:cs="仿宋"/>
                <w:sz w:val="27"/>
              </w:rPr>
            </w:pPr>
            <w:r>
              <w:rPr>
                <w:rFonts w:ascii="仿宋" w:eastAsia="仿宋" w:hAnsi="仿宋" w:cs="仿宋" w:hint="eastAsia"/>
              </w:rPr>
              <w:t>单位</w:t>
            </w:r>
            <w:r>
              <w:rPr>
                <w:rFonts w:ascii="仿宋" w:eastAsia="仿宋" w:hAnsi="仿宋" w:cs="仿宋" w:hint="eastAsia"/>
              </w:rPr>
              <w:t>：万元</w:t>
            </w:r>
          </w:p>
        </w:tc>
      </w:tr>
      <w:tr w:rsidR="006E5555">
        <w:trPr>
          <w:cantSplit/>
          <w:trHeight w:val="163"/>
        </w:trPr>
        <w:tc>
          <w:tcPr>
            <w:tcW w:w="3088" w:type="dxa"/>
            <w:tcBorders>
              <w:top w:val="single" w:sz="4" w:space="0" w:color="auto"/>
              <w:left w:val="single" w:sz="4" w:space="0" w:color="auto"/>
              <w:bottom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科目编码</w:t>
            </w:r>
          </w:p>
        </w:tc>
        <w:tc>
          <w:tcPr>
            <w:tcW w:w="2876" w:type="dxa"/>
            <w:tcBorders>
              <w:top w:val="single" w:sz="4" w:space="0" w:color="auto"/>
              <w:left w:val="single" w:sz="4" w:space="0" w:color="000000"/>
              <w:bottom w:val="single" w:sz="4" w:space="0" w:color="auto"/>
            </w:tcBorders>
            <w:vAlign w:val="center"/>
          </w:tcPr>
          <w:p w:rsidR="006E5555" w:rsidRDefault="00744F51">
            <w:pPr>
              <w:pStyle w:val="TableParagraph"/>
              <w:jc w:val="center"/>
              <w:rPr>
                <w:rFonts w:ascii="仿宋" w:eastAsia="仿宋" w:hAnsi="仿宋" w:cs="仿宋"/>
              </w:rPr>
            </w:pPr>
            <w:r>
              <w:rPr>
                <w:rFonts w:ascii="仿宋" w:eastAsia="仿宋" w:hAnsi="仿宋" w:cs="仿宋" w:hint="eastAsia"/>
              </w:rPr>
              <w:t>科目名称</w:t>
            </w:r>
          </w:p>
        </w:tc>
        <w:tc>
          <w:tcPr>
            <w:tcW w:w="4271" w:type="dxa"/>
            <w:gridSpan w:val="2"/>
            <w:tcBorders>
              <w:top w:val="single" w:sz="4" w:space="0" w:color="auto"/>
              <w:left w:val="single" w:sz="4" w:space="0" w:color="000000"/>
              <w:bottom w:val="single" w:sz="4" w:space="0" w:color="auto"/>
              <w:right w:val="single" w:sz="4" w:space="0" w:color="auto"/>
            </w:tcBorders>
          </w:tcPr>
          <w:p w:rsidR="006E5555" w:rsidRDefault="00744F51">
            <w:pPr>
              <w:jc w:val="center"/>
              <w:rPr>
                <w:rFonts w:ascii="仿宋" w:eastAsia="仿宋" w:hAnsi="仿宋" w:cs="仿宋"/>
              </w:rPr>
            </w:pPr>
            <w:r>
              <w:rPr>
                <w:rFonts w:ascii="仿宋" w:eastAsia="仿宋" w:hAnsi="仿宋" w:cs="仿宋" w:hint="eastAsia"/>
              </w:rPr>
              <w:t>机关运行经费支出</w:t>
            </w:r>
          </w:p>
        </w:tc>
      </w:tr>
      <w:tr w:rsidR="006E5555">
        <w:trPr>
          <w:cantSplit/>
          <w:trHeight w:val="90"/>
        </w:trPr>
        <w:tc>
          <w:tcPr>
            <w:tcW w:w="5964" w:type="dxa"/>
            <w:gridSpan w:val="2"/>
            <w:tcBorders>
              <w:top w:val="single" w:sz="4" w:space="0" w:color="000000"/>
              <w:left w:val="single" w:sz="4" w:space="0" w:color="auto"/>
              <w:bottom w:val="single" w:sz="4" w:space="0" w:color="auto"/>
              <w:right w:val="single" w:sz="4" w:space="0" w:color="000000"/>
            </w:tcBorders>
          </w:tcPr>
          <w:p w:rsidR="006E5555" w:rsidRDefault="00744F51">
            <w:pPr>
              <w:pStyle w:val="TableParagraph"/>
              <w:jc w:val="center"/>
              <w:rPr>
                <w:rFonts w:ascii="仿宋" w:eastAsia="仿宋" w:hAnsi="仿宋" w:cs="仿宋"/>
                <w:lang w:val="en-US"/>
              </w:rPr>
            </w:pPr>
            <w:r>
              <w:rPr>
                <w:rFonts w:ascii="仿宋" w:eastAsia="仿宋" w:hAnsi="仿宋" w:cs="仿宋" w:hint="eastAsia"/>
                <w:lang w:val="en-US"/>
              </w:rPr>
              <w:t>合计</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302</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商品和服务支出</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182.31</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30201</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办公费</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69.97</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30215</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会议费</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0.35</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30216</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培训费</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1.40</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30217</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公务接待费</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1.73</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30228</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工会经费</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26.74</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30229</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福利费</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6.64</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30239</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其他交通费用</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68.52</w:t>
            </w:r>
          </w:p>
        </w:tc>
      </w:tr>
      <w:tr w:rsidR="006E5555">
        <w:trPr>
          <w:cantSplit/>
          <w:trHeight w:val="131"/>
        </w:trPr>
        <w:tc>
          <w:tcPr>
            <w:tcW w:w="3088" w:type="dxa"/>
            <w:tcBorders>
              <w:top w:val="single" w:sz="4" w:space="0" w:color="000000"/>
              <w:left w:val="single" w:sz="4" w:space="0" w:color="auto"/>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 xml:space="preserve">  30299</w:t>
            </w:r>
          </w:p>
        </w:tc>
        <w:tc>
          <w:tcPr>
            <w:tcW w:w="2876" w:type="dxa"/>
            <w:tcBorders>
              <w:top w:val="single" w:sz="4" w:space="0" w:color="000000"/>
              <w:left w:val="single" w:sz="4" w:space="0" w:color="000000"/>
              <w:bottom w:val="single" w:sz="4" w:space="0" w:color="auto"/>
              <w:right w:val="single" w:sz="4" w:space="0" w:color="000000"/>
            </w:tcBorders>
          </w:tcPr>
          <w:p w:rsidR="006E5555" w:rsidRDefault="00744F51">
            <w:pPr>
              <w:pStyle w:val="TableParagraph"/>
              <w:rPr>
                <w:rFonts w:ascii="仿宋" w:eastAsia="仿宋" w:hAnsi="仿宋" w:cs="仿宋"/>
              </w:rPr>
            </w:pPr>
            <w:r>
              <w:rPr>
                <w:rFonts w:ascii="仿宋" w:eastAsia="仿宋" w:hAnsi="仿宋" w:cs="仿宋" w:hint="eastAsia"/>
              </w:rPr>
              <w:t>其他商品和服务支出</w:t>
            </w:r>
          </w:p>
        </w:tc>
        <w:tc>
          <w:tcPr>
            <w:tcW w:w="4271" w:type="dxa"/>
            <w:gridSpan w:val="2"/>
            <w:tcBorders>
              <w:top w:val="single" w:sz="4" w:space="0" w:color="000000"/>
              <w:left w:val="single" w:sz="4" w:space="0" w:color="000000"/>
              <w:bottom w:val="single" w:sz="4" w:space="0" w:color="auto"/>
              <w:right w:val="single" w:sz="4" w:space="0" w:color="auto"/>
            </w:tcBorders>
            <w:vAlign w:val="center"/>
          </w:tcPr>
          <w:p w:rsidR="006E5555" w:rsidRDefault="00744F51">
            <w:pPr>
              <w:pStyle w:val="TableParagraph"/>
              <w:jc w:val="right"/>
              <w:rPr>
                <w:rFonts w:ascii="仿宋" w:eastAsia="仿宋" w:hAnsi="仿宋" w:cs="仿宋"/>
              </w:rPr>
            </w:pPr>
            <w:r>
              <w:rPr>
                <w:rFonts w:ascii="仿宋" w:eastAsia="仿宋" w:hAnsi="仿宋" w:cs="仿宋" w:hint="eastAsia"/>
              </w:rPr>
              <w:t>6.96</w:t>
            </w:r>
          </w:p>
        </w:tc>
      </w:tr>
    </w:tbl>
    <w:p w:rsidR="006E5555" w:rsidRDefault="00744F51">
      <w:pPr>
        <w:tabs>
          <w:tab w:val="left" w:pos="-440"/>
        </w:tabs>
        <w:spacing w:before="25"/>
        <w:ind w:left="-440" w:rightChars="-100" w:right="-220"/>
        <w:rPr>
          <w:rFonts w:ascii="仿宋" w:eastAsia="仿宋" w:hAnsi="仿宋" w:cs="仿宋"/>
          <w:b/>
          <w:bCs/>
          <w:lang w:val="en-US"/>
        </w:rPr>
      </w:pPr>
      <w:r>
        <w:rPr>
          <w:rFonts w:ascii="仿宋" w:eastAsia="仿宋" w:hAnsi="仿宋" w:cs="仿宋" w:hint="eastAsia"/>
          <w:b/>
          <w:bCs/>
          <w:lang w:val="en-US"/>
        </w:rPr>
        <w:t>注：</w:t>
      </w:r>
      <w:r>
        <w:rPr>
          <w:rFonts w:ascii="仿宋" w:eastAsia="仿宋" w:hAnsi="仿宋" w:cs="仿宋" w:hint="eastAsia"/>
          <w:b/>
          <w:bCs/>
          <w:lang w:val="en-US"/>
        </w:rPr>
        <w:t>1.</w:t>
      </w:r>
      <w:r>
        <w:rPr>
          <w:rFonts w:ascii="仿宋" w:eastAsia="仿宋" w:hAnsi="仿宋" w:cs="仿宋" w:hint="eastAsia"/>
          <w:b/>
          <w:bCs/>
        </w:rPr>
        <w:t>“机关运行经费”指行政单位（含参照公务员法管理的事业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rsidR="006E5555" w:rsidRDefault="006E5555">
      <w:pPr>
        <w:spacing w:before="78" w:line="290" w:lineRule="auto"/>
        <w:ind w:left="227" w:right="57"/>
        <w:jc w:val="both"/>
        <w:rPr>
          <w:rFonts w:ascii="仿宋" w:eastAsia="仿宋" w:hAnsi="仿宋" w:cs="仿宋"/>
          <w:b/>
          <w:bCs/>
        </w:rPr>
        <w:sectPr w:rsidR="006E5555">
          <w:footerReference w:type="default" r:id="rId22"/>
          <w:pgSz w:w="11906" w:h="16838"/>
          <w:pgMar w:top="1100" w:right="906" w:bottom="770" w:left="1320" w:header="170" w:footer="280" w:gutter="0"/>
          <w:pgNumType w:fmt="numberInDash"/>
          <w:cols w:space="720"/>
          <w:formProt w:val="0"/>
          <w:docGrid w:linePitch="100"/>
        </w:sectPr>
      </w:pPr>
    </w:p>
    <w:tbl>
      <w:tblPr>
        <w:tblW w:w="15676"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512"/>
        <w:gridCol w:w="2502"/>
        <w:gridCol w:w="1440"/>
        <w:gridCol w:w="2280"/>
        <w:gridCol w:w="1776"/>
        <w:gridCol w:w="1105"/>
        <w:gridCol w:w="1121"/>
        <w:gridCol w:w="1192"/>
        <w:gridCol w:w="1200"/>
        <w:gridCol w:w="1548"/>
      </w:tblGrid>
      <w:tr w:rsidR="006E5555">
        <w:trPr>
          <w:cantSplit/>
        </w:trPr>
        <w:tc>
          <w:tcPr>
            <w:tcW w:w="15676" w:type="dxa"/>
            <w:gridSpan w:val="10"/>
            <w:tcBorders>
              <w:top w:val="nil"/>
              <w:left w:val="nil"/>
              <w:bottom w:val="nil"/>
              <w:right w:val="nil"/>
            </w:tcBorders>
            <w:shd w:val="clear" w:color="auto" w:fill="FFFFFF"/>
            <w:tcMar>
              <w:top w:w="0" w:type="dxa"/>
              <w:left w:w="0" w:type="dxa"/>
              <w:bottom w:w="0" w:type="dxa"/>
              <w:right w:w="0" w:type="dxa"/>
            </w:tcMar>
            <w:vAlign w:val="center"/>
          </w:tcPr>
          <w:p w:rsidR="006E5555" w:rsidRDefault="00744F51">
            <w:pPr>
              <w:pStyle w:val="TableParagraph"/>
              <w:rPr>
                <w:rFonts w:ascii="仿宋" w:eastAsia="仿宋" w:hAnsi="仿宋" w:cs="仿宋"/>
                <w:b/>
                <w:bCs/>
                <w:sz w:val="44"/>
                <w:szCs w:val="44"/>
                <w:lang w:val="en-US"/>
              </w:rPr>
            </w:pPr>
            <w:r>
              <w:rPr>
                <w:rFonts w:ascii="仿宋" w:eastAsia="仿宋" w:hAnsi="仿宋" w:cs="仿宋" w:hint="eastAsia"/>
              </w:rPr>
              <w:lastRenderedPageBreak/>
              <w:t>公开</w:t>
            </w:r>
            <w:r>
              <w:rPr>
                <w:rFonts w:ascii="仿宋" w:eastAsia="仿宋" w:hAnsi="仿宋" w:cs="仿宋" w:hint="eastAsia"/>
              </w:rPr>
              <w:t>1</w:t>
            </w:r>
            <w:r>
              <w:rPr>
                <w:rFonts w:ascii="仿宋" w:eastAsia="仿宋" w:hAnsi="仿宋" w:cs="仿宋" w:hint="eastAsia"/>
                <w:lang w:val="en-US"/>
              </w:rPr>
              <w:t>3</w:t>
            </w:r>
            <w:r>
              <w:rPr>
                <w:rFonts w:ascii="仿宋" w:eastAsia="仿宋" w:hAnsi="仿宋" w:cs="仿宋" w:hint="eastAsia"/>
              </w:rPr>
              <w:t>表</w:t>
            </w:r>
          </w:p>
        </w:tc>
      </w:tr>
      <w:tr w:rsidR="006E5555">
        <w:trPr>
          <w:cantSplit/>
        </w:trPr>
        <w:tc>
          <w:tcPr>
            <w:tcW w:w="15676" w:type="dxa"/>
            <w:gridSpan w:val="10"/>
            <w:tcBorders>
              <w:top w:val="nil"/>
              <w:left w:val="nil"/>
              <w:bottom w:val="nil"/>
              <w:right w:val="nil"/>
            </w:tcBorders>
            <w:shd w:val="clear" w:color="auto" w:fill="FFFFFF"/>
            <w:tcMar>
              <w:top w:w="0" w:type="dxa"/>
              <w:left w:w="0" w:type="dxa"/>
              <w:bottom w:w="0" w:type="dxa"/>
              <w:right w:w="0" w:type="dxa"/>
            </w:tcMar>
            <w:vAlign w:val="center"/>
          </w:tcPr>
          <w:p w:rsidR="006E5555" w:rsidRDefault="00744F51">
            <w:pPr>
              <w:pStyle w:val="TableParagraph"/>
              <w:jc w:val="center"/>
              <w:rPr>
                <w:rFonts w:ascii="仿宋" w:eastAsia="仿宋" w:hAnsi="仿宋" w:cs="仿宋"/>
                <w:lang w:val="en-US"/>
              </w:rPr>
            </w:pPr>
            <w:r>
              <w:rPr>
                <w:rFonts w:ascii="仿宋" w:eastAsia="仿宋" w:hAnsi="仿宋" w:cs="仿宋" w:hint="eastAsia"/>
                <w:b/>
                <w:bCs/>
                <w:sz w:val="44"/>
                <w:szCs w:val="44"/>
                <w:lang w:val="en-US"/>
              </w:rPr>
              <w:t>政府采购支出表</w:t>
            </w:r>
          </w:p>
        </w:tc>
      </w:tr>
      <w:tr w:rsidR="006E5555">
        <w:trPr>
          <w:cantSplit/>
        </w:trPr>
        <w:tc>
          <w:tcPr>
            <w:tcW w:w="9510" w:type="dxa"/>
            <w:gridSpan w:val="5"/>
            <w:tcBorders>
              <w:top w:val="nil"/>
              <w:left w:val="nil"/>
              <w:bottom w:val="single" w:sz="4" w:space="0" w:color="auto"/>
              <w:right w:val="nil"/>
            </w:tcBorders>
            <w:shd w:val="clear" w:color="auto" w:fill="FFFFFF"/>
            <w:tcMar>
              <w:top w:w="0" w:type="dxa"/>
              <w:left w:w="0" w:type="dxa"/>
              <w:bottom w:w="0" w:type="dxa"/>
              <w:right w:w="0" w:type="dxa"/>
            </w:tcMar>
            <w:vAlign w:val="center"/>
          </w:tcPr>
          <w:p w:rsidR="006E5555" w:rsidRDefault="00744F51">
            <w:pPr>
              <w:pStyle w:val="TableParagraph"/>
              <w:rPr>
                <w:rFonts w:ascii="仿宋" w:eastAsia="仿宋" w:hAnsi="仿宋" w:cs="仿宋"/>
                <w:lang w:val="en-US"/>
              </w:rPr>
            </w:pPr>
            <w:r>
              <w:rPr>
                <w:rFonts w:ascii="仿宋" w:eastAsia="仿宋" w:hAnsi="仿宋" w:cs="仿宋" w:hint="eastAsia"/>
                <w:color w:val="000000"/>
              </w:rPr>
              <w:t>单位</w:t>
            </w:r>
            <w:r>
              <w:rPr>
                <w:rFonts w:ascii="仿宋" w:eastAsia="仿宋" w:hAnsi="仿宋" w:cs="仿宋"/>
                <w:color w:val="000000"/>
              </w:rPr>
              <w:t>：</w:t>
            </w:r>
            <w:r>
              <w:rPr>
                <w:rFonts w:ascii="仿宋" w:eastAsia="仿宋" w:hAnsi="仿宋" w:cs="仿宋" w:hint="eastAsia"/>
              </w:rPr>
              <w:t>无锡市自然资源和规划局（本级）</w:t>
            </w:r>
          </w:p>
        </w:tc>
        <w:tc>
          <w:tcPr>
            <w:tcW w:w="4618" w:type="dxa"/>
            <w:gridSpan w:val="4"/>
            <w:tcBorders>
              <w:top w:val="nil"/>
              <w:left w:val="nil"/>
              <w:bottom w:val="single" w:sz="4" w:space="0" w:color="auto"/>
              <w:right w:val="nil"/>
            </w:tcBorders>
            <w:shd w:val="clear" w:color="auto" w:fill="FFFFFF"/>
            <w:tcMar>
              <w:top w:w="0" w:type="dxa"/>
              <w:left w:w="0" w:type="dxa"/>
              <w:bottom w:w="0" w:type="dxa"/>
              <w:right w:w="0" w:type="dxa"/>
            </w:tcMar>
            <w:vAlign w:val="center"/>
          </w:tcPr>
          <w:p w:rsidR="006E5555" w:rsidRDefault="006E5555">
            <w:pPr>
              <w:pStyle w:val="TableParagraph"/>
              <w:rPr>
                <w:rFonts w:ascii="仿宋" w:eastAsia="仿宋" w:hAnsi="仿宋" w:cs="仿宋"/>
                <w:lang w:val="en-US"/>
              </w:rPr>
            </w:pPr>
          </w:p>
        </w:tc>
        <w:tc>
          <w:tcPr>
            <w:tcW w:w="1548" w:type="dxa"/>
            <w:tcBorders>
              <w:top w:val="nil"/>
              <w:left w:val="nil"/>
              <w:bottom w:val="single" w:sz="4" w:space="0" w:color="auto"/>
              <w:right w:val="nil"/>
            </w:tcBorders>
            <w:shd w:val="clear" w:color="auto" w:fill="FFFFFF"/>
            <w:tcMar>
              <w:top w:w="0" w:type="dxa"/>
              <w:left w:w="0" w:type="dxa"/>
              <w:bottom w:w="0" w:type="dxa"/>
              <w:right w:w="0" w:type="dxa"/>
            </w:tcMar>
            <w:vAlign w:val="center"/>
          </w:tcPr>
          <w:p w:rsidR="006E5555" w:rsidRDefault="00744F51">
            <w:pPr>
              <w:pStyle w:val="TableParagraph"/>
              <w:jc w:val="right"/>
              <w:rPr>
                <w:rFonts w:ascii="仿宋" w:eastAsia="仿宋" w:hAnsi="仿宋" w:cs="仿宋"/>
                <w:lang w:val="en-US"/>
              </w:rPr>
            </w:pPr>
            <w:r>
              <w:rPr>
                <w:rFonts w:ascii="仿宋" w:eastAsia="仿宋" w:hAnsi="仿宋" w:cs="仿宋" w:hint="eastAsia"/>
              </w:rPr>
              <w:t>单位：万元</w:t>
            </w:r>
          </w:p>
        </w:tc>
      </w:tr>
      <w:tr w:rsidR="006E5555">
        <w:trPr>
          <w:cantSplit/>
        </w:trPr>
        <w:tc>
          <w:tcPr>
            <w:tcW w:w="1512"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采购品目大类</w:t>
            </w:r>
          </w:p>
        </w:tc>
        <w:tc>
          <w:tcPr>
            <w:tcW w:w="2502"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专项名称</w:t>
            </w:r>
          </w:p>
        </w:tc>
        <w:tc>
          <w:tcPr>
            <w:tcW w:w="1440"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经济科目</w:t>
            </w:r>
          </w:p>
        </w:tc>
        <w:tc>
          <w:tcPr>
            <w:tcW w:w="2280"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采购品目名称</w:t>
            </w:r>
          </w:p>
        </w:tc>
        <w:tc>
          <w:tcPr>
            <w:tcW w:w="1776"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采购组织形式</w:t>
            </w:r>
          </w:p>
        </w:tc>
        <w:tc>
          <w:tcPr>
            <w:tcW w:w="4618" w:type="dxa"/>
            <w:gridSpan w:val="4"/>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资金来源</w:t>
            </w:r>
          </w:p>
        </w:tc>
        <w:tc>
          <w:tcPr>
            <w:tcW w:w="1548"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总计</w:t>
            </w:r>
          </w:p>
        </w:tc>
      </w:tr>
      <w:tr w:rsidR="006E5555">
        <w:trPr>
          <w:cantSplit/>
          <w:trHeight w:val="258"/>
        </w:trPr>
        <w:tc>
          <w:tcPr>
            <w:tcW w:w="1512"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2502"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1440"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2280"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1776"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lang w:val="en-US"/>
              </w:rPr>
            </w:pPr>
            <w:r>
              <w:rPr>
                <w:rFonts w:ascii="仿宋" w:eastAsia="仿宋" w:hAnsi="仿宋" w:cs="仿宋" w:hint="eastAsia"/>
                <w:lang w:val="en-US"/>
              </w:rPr>
              <w:t>一般公共预算资金</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政府性基金</w:t>
            </w: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其他资金</w:t>
            </w: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jc w:val="center"/>
              <w:rPr>
                <w:rFonts w:ascii="仿宋" w:eastAsia="仿宋" w:hAnsi="仿宋" w:cs="仿宋"/>
              </w:rPr>
            </w:pPr>
            <w:r>
              <w:rPr>
                <w:rFonts w:ascii="仿宋" w:eastAsia="仿宋" w:hAnsi="仿宋" w:cs="仿宋" w:hint="eastAsia"/>
                <w:lang w:val="en-US"/>
              </w:rPr>
              <w:t>上年结转和结余资金</w:t>
            </w:r>
          </w:p>
        </w:tc>
        <w:tc>
          <w:tcPr>
            <w:tcW w:w="1548" w:type="dxa"/>
            <w:vMerge/>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pStyle w:val="TableParagraph"/>
              <w:snapToGrid w:val="0"/>
              <w:rPr>
                <w:rFonts w:ascii="仿宋" w:eastAsia="仿宋" w:hAnsi="仿宋" w:cs="仿宋"/>
              </w:rPr>
            </w:pPr>
            <w:r>
              <w:rPr>
                <w:rFonts w:ascii="仿宋" w:eastAsia="仿宋" w:hAnsi="仿宋" w:cs="仿宋" w:hint="eastAsia"/>
                <w:lang w:val="en-US"/>
              </w:rPr>
              <w:t>合计</w:t>
            </w: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pStyle w:val="TableParagraph"/>
              <w:snapToGrid w:val="0"/>
              <w:rPr>
                <w:rFonts w:ascii="仿宋" w:eastAsia="仿宋" w:hAnsi="仿宋" w:cs="仿宋"/>
              </w:rPr>
            </w:pP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1,321.87</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1,321.87</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服务</w:t>
            </w: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1,321.87</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1,321.87</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无锡市自然资源和规划局（本级）</w:t>
            </w: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1,321.87</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1,321.87</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机房信息化设备维护</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信息网络及软件购置更新</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分散采购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140.00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140.00</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土地集约用地管理工作项目</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委托业务费</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分散采购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224.00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224.00</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土地转征收项目</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委托业务费</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分散采购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150.00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150.00</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不动产登记管理项目</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其他商品和服务支出</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分散采购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82.39</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82.39</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测绘管理项目</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委托业务费</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分散采购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370.48</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370.48</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土地出让工作项目</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委托业务费</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分散采购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142.00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142.00</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地质灾害防治</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其他商品和服务支出</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分散采购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73.00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73.00</w:t>
            </w:r>
          </w:p>
        </w:tc>
      </w:tr>
      <w:tr w:rsidR="006E5555">
        <w:trPr>
          <w:cantSplit/>
          <w:trHeight w:val="90"/>
        </w:trPr>
        <w:tc>
          <w:tcPr>
            <w:tcW w:w="151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rPr>
                <w:rFonts w:ascii="仿宋" w:eastAsia="仿宋" w:hAnsi="仿宋" w:cs="仿宋"/>
                <w:lang w:val="en-US"/>
              </w:rPr>
            </w:pPr>
          </w:p>
        </w:tc>
        <w:tc>
          <w:tcPr>
            <w:tcW w:w="250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土地整治和经营性地块摄影测量及影像分析</w:t>
            </w:r>
          </w:p>
        </w:tc>
        <w:tc>
          <w:tcPr>
            <w:tcW w:w="144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其他商品和服务支出</w:t>
            </w:r>
          </w:p>
        </w:tc>
        <w:tc>
          <w:tcPr>
            <w:tcW w:w="228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其他服务</w:t>
            </w:r>
          </w:p>
        </w:tc>
        <w:tc>
          <w:tcPr>
            <w:tcW w:w="1776"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rPr>
                <w:rFonts w:ascii="仿宋" w:eastAsia="仿宋" w:hAnsi="仿宋" w:cs="仿宋"/>
                <w:lang w:val="en-US"/>
              </w:rPr>
            </w:pPr>
            <w:r>
              <w:rPr>
                <w:rFonts w:ascii="仿宋" w:eastAsia="仿宋" w:hAnsi="仿宋" w:cs="仿宋" w:hint="eastAsia"/>
                <w:lang w:val="en-US"/>
              </w:rPr>
              <w:t>分散采购</w:t>
            </w:r>
          </w:p>
        </w:tc>
        <w:tc>
          <w:tcPr>
            <w:tcW w:w="110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140.00</w:t>
            </w:r>
          </w:p>
        </w:tc>
        <w:tc>
          <w:tcPr>
            <w:tcW w:w="1121"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192"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200"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6E5555">
            <w:pPr>
              <w:snapToGrid w:val="0"/>
              <w:ind w:right="57"/>
              <w:jc w:val="right"/>
              <w:rPr>
                <w:rFonts w:ascii="仿宋" w:eastAsia="仿宋" w:hAnsi="仿宋" w:cs="仿宋"/>
                <w:lang w:val="en-US"/>
              </w:rPr>
            </w:pPr>
          </w:p>
        </w:tc>
        <w:tc>
          <w:tcPr>
            <w:tcW w:w="1548"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tcPr>
          <w:p w:rsidR="006E5555" w:rsidRDefault="00744F51">
            <w:pPr>
              <w:snapToGrid w:val="0"/>
              <w:ind w:right="57"/>
              <w:jc w:val="right"/>
              <w:rPr>
                <w:rFonts w:ascii="仿宋" w:eastAsia="仿宋" w:hAnsi="仿宋" w:cs="仿宋"/>
                <w:lang w:val="en-US"/>
              </w:rPr>
            </w:pPr>
            <w:r>
              <w:rPr>
                <w:rFonts w:ascii="仿宋" w:eastAsia="仿宋" w:hAnsi="仿宋" w:cs="仿宋" w:hint="eastAsia"/>
                <w:lang w:val="en-US"/>
              </w:rPr>
              <w:t>140.00</w:t>
            </w:r>
          </w:p>
        </w:tc>
      </w:tr>
    </w:tbl>
    <w:p w:rsidR="006E5555" w:rsidRDefault="006E5555">
      <w:pPr>
        <w:rPr>
          <w:rFonts w:ascii="仿宋" w:eastAsia="仿宋" w:hAnsi="仿宋" w:cs="仿宋"/>
          <w:b/>
          <w:bCs/>
        </w:rPr>
        <w:sectPr w:rsidR="006E5555">
          <w:footerReference w:type="default" r:id="rId23"/>
          <w:pgSz w:w="16838" w:h="11906" w:orient="landscape"/>
          <w:pgMar w:top="1320" w:right="567" w:bottom="1320" w:left="567" w:header="170" w:footer="280" w:gutter="0"/>
          <w:pgNumType w:fmt="numberInDash"/>
          <w:cols w:space="720"/>
          <w:formProt w:val="0"/>
          <w:docGrid w:linePitch="100"/>
        </w:sectPr>
      </w:pPr>
    </w:p>
    <w:p w:rsidR="006E5555" w:rsidRDefault="00744F51">
      <w:pPr>
        <w:pStyle w:val="4"/>
        <w:tabs>
          <w:tab w:val="left" w:pos="3077"/>
        </w:tabs>
        <w:spacing w:line="616" w:lineRule="exact"/>
      </w:pPr>
      <w:r>
        <w:rPr>
          <w:rFonts w:ascii="仿宋" w:eastAsia="仿宋" w:hAnsi="仿宋" w:cs="仿宋" w:hint="eastAsia"/>
          <w:b/>
          <w:bCs/>
          <w:sz w:val="44"/>
          <w:szCs w:val="44"/>
        </w:rPr>
        <w:lastRenderedPageBreak/>
        <w:t>第三部分</w:t>
      </w:r>
      <w:r>
        <w:rPr>
          <w:rFonts w:ascii="仿宋" w:eastAsia="仿宋" w:hAnsi="仿宋" w:cs="仿宋" w:hint="eastAsia"/>
          <w:b/>
          <w:bCs/>
          <w:sz w:val="44"/>
          <w:szCs w:val="44"/>
          <w:lang w:val="en-US"/>
        </w:rPr>
        <w:t xml:space="preserve"> </w:t>
      </w:r>
      <w:r>
        <w:rPr>
          <w:rFonts w:ascii="仿宋" w:eastAsia="仿宋" w:hAnsi="仿宋" w:cs="仿宋" w:hint="eastAsia"/>
          <w:b/>
          <w:bCs/>
          <w:sz w:val="44"/>
          <w:szCs w:val="44"/>
        </w:rPr>
        <w:t>2023</w:t>
      </w:r>
      <w:r>
        <w:rPr>
          <w:rFonts w:ascii="仿宋" w:eastAsia="仿宋" w:hAnsi="仿宋" w:cs="仿宋" w:hint="eastAsia"/>
          <w:b/>
          <w:bCs/>
          <w:sz w:val="44"/>
          <w:szCs w:val="44"/>
        </w:rPr>
        <w:t>年度</w:t>
      </w:r>
      <w:r>
        <w:rPr>
          <w:rFonts w:ascii="仿宋" w:eastAsia="仿宋" w:hAnsi="仿宋" w:cs="仿宋"/>
          <w:b/>
          <w:sz w:val="44"/>
        </w:rPr>
        <w:t>单位</w:t>
      </w:r>
      <w:r>
        <w:rPr>
          <w:rFonts w:ascii="仿宋" w:eastAsia="仿宋" w:hAnsi="仿宋" w:cs="仿宋" w:hint="eastAsia"/>
          <w:b/>
          <w:bCs/>
          <w:sz w:val="44"/>
          <w:szCs w:val="44"/>
        </w:rPr>
        <w:t>预算</w:t>
      </w:r>
      <w:r>
        <w:rPr>
          <w:rFonts w:ascii="仿宋" w:eastAsia="仿宋" w:hAnsi="仿宋" w:cs="仿宋" w:hint="eastAsia"/>
          <w:b/>
          <w:bCs/>
          <w:sz w:val="44"/>
          <w:szCs w:val="44"/>
        </w:rPr>
        <w:t>情况说明</w:t>
      </w:r>
    </w:p>
    <w:p w:rsidR="006E5555" w:rsidRDefault="006E5555">
      <w:pPr>
        <w:pStyle w:val="a4"/>
        <w:tabs>
          <w:tab w:val="left" w:pos="3864"/>
          <w:tab w:val="left" w:pos="6248"/>
          <w:tab w:val="left" w:pos="7386"/>
        </w:tabs>
        <w:spacing w:before="1" w:line="360" w:lineRule="auto"/>
        <w:ind w:left="348" w:right="420" w:firstLine="640"/>
        <w:jc w:val="both"/>
        <w:rPr>
          <w:rFonts w:ascii="仿宋" w:eastAsia="仿宋" w:hAnsi="仿宋" w:cs="仿宋"/>
          <w:lang w:val="en-US"/>
        </w:rPr>
      </w:pP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一、收支预算总体情况说明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年度收入、支出预算总计</w:t>
      </w:r>
      <w:r>
        <w:rPr>
          <w:rFonts w:ascii="仿宋" w:eastAsia="仿宋" w:hAnsi="仿宋" w:cs="仿宋"/>
        </w:rPr>
        <w:t>17,110.47</w:t>
      </w:r>
      <w:r>
        <w:rPr>
          <w:rFonts w:ascii="仿宋" w:eastAsia="仿宋" w:hAnsi="仿宋" w:cs="仿宋"/>
        </w:rPr>
        <w:t>万元，与上年相比收、支预算总计各减少</w:t>
      </w:r>
      <w:r>
        <w:rPr>
          <w:rFonts w:ascii="仿宋" w:eastAsia="仿宋" w:hAnsi="仿宋" w:cs="仿宋"/>
        </w:rPr>
        <w:t>3,777.58</w:t>
      </w:r>
      <w:r>
        <w:rPr>
          <w:rFonts w:ascii="仿宋" w:eastAsia="仿宋" w:hAnsi="仿宋" w:cs="仿宋"/>
        </w:rPr>
        <w:t>万元，减少</w:t>
      </w:r>
      <w:r>
        <w:rPr>
          <w:rFonts w:ascii="仿宋" w:eastAsia="仿宋" w:hAnsi="仿宋" w:cs="仿宋"/>
        </w:rPr>
        <w:t>18.08%</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其中：</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（一）收入预算总计</w:t>
      </w:r>
      <w:r>
        <w:rPr>
          <w:rFonts w:ascii="仿宋" w:eastAsia="仿宋" w:hAnsi="仿宋" w:cs="仿宋"/>
          <w:b/>
        </w:rPr>
        <w:t>17,110.47</w:t>
      </w:r>
      <w:r>
        <w:rPr>
          <w:rFonts w:ascii="仿宋" w:eastAsia="仿宋" w:hAnsi="仿宋" w:cs="仿宋"/>
          <w:b/>
        </w:rPr>
        <w:t>万元。包括：</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．本年收入合计</w:t>
      </w:r>
      <w:r>
        <w:rPr>
          <w:rFonts w:ascii="仿宋" w:eastAsia="仿宋" w:hAnsi="仿宋" w:cs="仿宋"/>
        </w:rPr>
        <w:t>17,110.47</w:t>
      </w:r>
      <w:r>
        <w:rPr>
          <w:rFonts w:ascii="仿宋" w:eastAsia="仿宋" w:hAnsi="仿宋" w:cs="仿宋"/>
        </w:rPr>
        <w:t>万元。</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1</w:t>
      </w:r>
      <w:r>
        <w:rPr>
          <w:rFonts w:ascii="仿宋" w:eastAsia="仿宋" w:hAnsi="仿宋" w:cs="仿宋"/>
        </w:rPr>
        <w:t>）一般公共预算拨款收入</w:t>
      </w:r>
      <w:r>
        <w:rPr>
          <w:rFonts w:ascii="仿宋" w:eastAsia="仿宋" w:hAnsi="仿宋" w:cs="仿宋"/>
        </w:rPr>
        <w:t>12,110.47</w:t>
      </w:r>
      <w:r>
        <w:rPr>
          <w:rFonts w:ascii="仿宋" w:eastAsia="仿宋" w:hAnsi="仿宋" w:cs="仿宋"/>
        </w:rPr>
        <w:t>万元，与上年相比增加</w:t>
      </w:r>
      <w:r>
        <w:rPr>
          <w:rFonts w:ascii="仿宋" w:eastAsia="仿宋" w:hAnsi="仿宋" w:cs="仿宋"/>
        </w:rPr>
        <w:t>6,547.57</w:t>
      </w:r>
      <w:r>
        <w:rPr>
          <w:rFonts w:ascii="仿宋" w:eastAsia="仿宋" w:hAnsi="仿宋" w:cs="仿宋"/>
        </w:rPr>
        <w:t>万元，增长</w:t>
      </w:r>
      <w:r>
        <w:rPr>
          <w:rFonts w:ascii="仿宋" w:eastAsia="仿宋" w:hAnsi="仿宋" w:cs="仿宋"/>
        </w:rPr>
        <w:t>117.7%</w:t>
      </w:r>
      <w:r>
        <w:rPr>
          <w:rFonts w:ascii="仿宋" w:eastAsia="仿宋" w:hAnsi="仿宋" w:cs="仿宋"/>
        </w:rPr>
        <w:t>。主要原因是编制口径调整，原有政府性基金预算收入安排的工作性项目调整为由一般公共预算拨款收入安排。</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2</w:t>
      </w:r>
      <w:r>
        <w:rPr>
          <w:rFonts w:ascii="仿宋" w:eastAsia="仿宋" w:hAnsi="仿宋" w:cs="仿宋"/>
        </w:rPr>
        <w:t>）政府性基金预算拨款收入</w:t>
      </w:r>
      <w:r>
        <w:rPr>
          <w:rFonts w:ascii="仿宋" w:eastAsia="仿宋" w:hAnsi="仿宋" w:cs="仿宋"/>
        </w:rPr>
        <w:t>5,000</w:t>
      </w:r>
      <w:r>
        <w:rPr>
          <w:rFonts w:ascii="仿宋" w:eastAsia="仿宋" w:hAnsi="仿宋" w:cs="仿宋"/>
        </w:rPr>
        <w:t>万元，与上年相比减少</w:t>
      </w:r>
      <w:r>
        <w:rPr>
          <w:rFonts w:ascii="仿宋" w:eastAsia="仿宋" w:hAnsi="仿宋" w:cs="仿宋"/>
        </w:rPr>
        <w:t>10,325.15</w:t>
      </w:r>
      <w:r>
        <w:rPr>
          <w:rFonts w:ascii="仿宋" w:eastAsia="仿宋" w:hAnsi="仿宋" w:cs="仿宋"/>
        </w:rPr>
        <w:t>万元，减少</w:t>
      </w:r>
      <w:r>
        <w:rPr>
          <w:rFonts w:ascii="仿宋" w:eastAsia="仿宋" w:hAnsi="仿宋" w:cs="仿宋"/>
        </w:rPr>
        <w:t>67.37%</w:t>
      </w:r>
      <w:r>
        <w:rPr>
          <w:rFonts w:ascii="仿宋" w:eastAsia="仿宋" w:hAnsi="仿宋" w:cs="仿宋"/>
        </w:rPr>
        <w:t>。主要原因是编制口径调整：</w:t>
      </w:r>
      <w:r>
        <w:rPr>
          <w:rFonts w:ascii="仿宋" w:eastAsia="仿宋" w:hAnsi="仿宋" w:cs="仿宋"/>
        </w:rPr>
        <w:t>1</w:t>
      </w:r>
      <w:r>
        <w:rPr>
          <w:rFonts w:ascii="仿宋" w:eastAsia="仿宋" w:hAnsi="仿宋" w:cs="仿宋"/>
        </w:rPr>
        <w:t>、原有政府性基金预算收入安排的工作性项目调整为由一般公共预算拨款收入安排；</w:t>
      </w:r>
      <w:r>
        <w:rPr>
          <w:rFonts w:ascii="仿宋" w:eastAsia="仿宋" w:hAnsi="仿宋" w:cs="仿宋"/>
        </w:rPr>
        <w:t>2</w:t>
      </w:r>
      <w:r>
        <w:rPr>
          <w:rFonts w:ascii="仿宋" w:eastAsia="仿宋" w:hAnsi="仿宋" w:cs="仿宋"/>
        </w:rPr>
        <w:t>、规划类项目实行</w:t>
      </w:r>
      <w:r>
        <w:rPr>
          <w:rFonts w:ascii="仿宋" w:eastAsia="仿宋" w:hAnsi="仿宋" w:cs="仿宋"/>
        </w:rPr>
        <w:t>“</w:t>
      </w:r>
      <w:r>
        <w:rPr>
          <w:rFonts w:ascii="仿宋" w:eastAsia="仿宋" w:hAnsi="仿宋" w:cs="仿宋"/>
        </w:rPr>
        <w:t>零基预算</w:t>
      </w:r>
      <w:r>
        <w:rPr>
          <w:rFonts w:ascii="仿宋" w:eastAsia="仿宋" w:hAnsi="仿宋" w:cs="仿宋"/>
        </w:rPr>
        <w:t>”</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3</w:t>
      </w:r>
      <w:r>
        <w:rPr>
          <w:rFonts w:ascii="仿宋" w:eastAsia="仿宋" w:hAnsi="仿宋" w:cs="仿宋"/>
        </w:rPr>
        <w:t>）国有资本经营预算拨款收入</w:t>
      </w:r>
      <w:r>
        <w:rPr>
          <w:rFonts w:ascii="仿宋" w:eastAsia="仿宋" w:hAnsi="仿宋" w:cs="仿宋"/>
        </w:rPr>
        <w:t>0</w:t>
      </w:r>
      <w:r>
        <w:rPr>
          <w:rFonts w:ascii="仿宋" w:eastAsia="仿宋" w:hAnsi="仿宋" w:cs="仿宋"/>
        </w:rPr>
        <w:t>万</w:t>
      </w:r>
      <w:r>
        <w:rPr>
          <w:rFonts w:ascii="仿宋" w:eastAsia="仿宋" w:hAnsi="仿宋" w:cs="仿宋"/>
        </w:rPr>
        <w:t>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4</w:t>
      </w:r>
      <w:r>
        <w:rPr>
          <w:rFonts w:ascii="仿宋" w:eastAsia="仿宋" w:hAnsi="仿宋" w:cs="仿宋"/>
        </w:rPr>
        <w:t>）财政专户管理资金收入</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5</w:t>
      </w:r>
      <w:r>
        <w:rPr>
          <w:rFonts w:ascii="仿宋" w:eastAsia="仿宋" w:hAnsi="仿宋" w:cs="仿宋"/>
        </w:rPr>
        <w:t>）事业收入</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6</w:t>
      </w:r>
      <w:r>
        <w:rPr>
          <w:rFonts w:ascii="仿宋" w:eastAsia="仿宋" w:hAnsi="仿宋" w:cs="仿宋"/>
        </w:rPr>
        <w:t>）事业单位经营收入</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7</w:t>
      </w:r>
      <w:r>
        <w:rPr>
          <w:rFonts w:ascii="仿宋" w:eastAsia="仿宋" w:hAnsi="仿宋" w:cs="仿宋"/>
        </w:rPr>
        <w:t>）上级补助收入</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w:t>
      </w:r>
      <w:r>
        <w:rPr>
          <w:rFonts w:ascii="仿宋" w:eastAsia="仿宋" w:hAnsi="仿宋" w:cs="仿宋"/>
        </w:rPr>
        <w:t>8</w:t>
      </w:r>
      <w:r>
        <w:rPr>
          <w:rFonts w:ascii="仿宋" w:eastAsia="仿宋" w:hAnsi="仿宋" w:cs="仿宋"/>
        </w:rPr>
        <w:t>）附属单位上缴收入</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9</w:t>
      </w:r>
      <w:r>
        <w:rPr>
          <w:rFonts w:ascii="仿宋" w:eastAsia="仿宋" w:hAnsi="仿宋" w:cs="仿宋"/>
        </w:rPr>
        <w:t>）其他收入</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．上年结转结余为</w:t>
      </w:r>
      <w:r>
        <w:rPr>
          <w:rFonts w:ascii="仿宋" w:eastAsia="仿宋" w:hAnsi="仿宋" w:cs="仿宋"/>
        </w:rPr>
        <w:t>0</w:t>
      </w:r>
      <w:r>
        <w:rPr>
          <w:rFonts w:ascii="仿宋" w:eastAsia="仿宋" w:hAnsi="仿宋" w:cs="仿宋"/>
        </w:rPr>
        <w:t>万元。与上年预算数相同。</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（二）支出预算总计</w:t>
      </w:r>
      <w:r>
        <w:rPr>
          <w:rFonts w:ascii="仿宋" w:eastAsia="仿宋" w:hAnsi="仿宋" w:cs="仿宋"/>
          <w:b/>
        </w:rPr>
        <w:t>17,110.47</w:t>
      </w:r>
      <w:r>
        <w:rPr>
          <w:rFonts w:ascii="仿宋" w:eastAsia="仿宋" w:hAnsi="仿宋" w:cs="仿宋"/>
          <w:b/>
        </w:rPr>
        <w:t>万元。包括：</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．本年支出合计</w:t>
      </w:r>
      <w:r>
        <w:rPr>
          <w:rFonts w:ascii="仿宋" w:eastAsia="仿宋" w:hAnsi="仿宋" w:cs="仿宋"/>
        </w:rPr>
        <w:t>17,110.47</w:t>
      </w:r>
      <w:r>
        <w:rPr>
          <w:rFonts w:ascii="仿宋" w:eastAsia="仿宋" w:hAnsi="仿宋" w:cs="仿宋"/>
        </w:rPr>
        <w:t>万元。</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1</w:t>
      </w:r>
      <w:r>
        <w:rPr>
          <w:rFonts w:ascii="仿宋" w:eastAsia="仿宋" w:hAnsi="仿宋" w:cs="仿宋"/>
        </w:rPr>
        <w:t>）社会保障和就业支出（类）支出</w:t>
      </w:r>
      <w:r>
        <w:rPr>
          <w:rFonts w:ascii="仿宋" w:eastAsia="仿宋" w:hAnsi="仿宋" w:cs="仿宋"/>
        </w:rPr>
        <w:t>360.71</w:t>
      </w:r>
      <w:r>
        <w:rPr>
          <w:rFonts w:ascii="仿宋" w:eastAsia="仿宋" w:hAnsi="仿宋" w:cs="仿宋"/>
        </w:rPr>
        <w:t>万元，主要用于机关单</w:t>
      </w:r>
      <w:r>
        <w:rPr>
          <w:rFonts w:ascii="仿宋" w:eastAsia="仿宋" w:hAnsi="仿宋" w:cs="仿宋"/>
        </w:rPr>
        <w:t>位人员基本养老金、年金支出。与上年相比增加</w:t>
      </w:r>
      <w:r>
        <w:rPr>
          <w:rFonts w:ascii="仿宋" w:eastAsia="仿宋" w:hAnsi="仿宋" w:cs="仿宋"/>
        </w:rPr>
        <w:t>87</w:t>
      </w:r>
      <w:r>
        <w:rPr>
          <w:rFonts w:ascii="仿宋" w:eastAsia="仿宋" w:hAnsi="仿宋" w:cs="仿宋"/>
        </w:rPr>
        <w:t>万元，增长</w:t>
      </w:r>
      <w:r>
        <w:rPr>
          <w:rFonts w:ascii="仿宋" w:eastAsia="仿宋" w:hAnsi="仿宋" w:cs="仿宋"/>
        </w:rPr>
        <w:t>31.79%</w:t>
      </w:r>
      <w:r>
        <w:rPr>
          <w:rFonts w:ascii="仿宋" w:eastAsia="仿宋" w:hAnsi="仿宋" w:cs="仿宋"/>
        </w:rPr>
        <w:t>。主要原因是机关事业单位基本养老金、年金基数调整。</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2</w:t>
      </w:r>
      <w:r>
        <w:rPr>
          <w:rFonts w:ascii="仿宋" w:eastAsia="仿宋" w:hAnsi="仿宋" w:cs="仿宋"/>
        </w:rPr>
        <w:t>）卫生健康支出（类）支出</w:t>
      </w:r>
      <w:r>
        <w:rPr>
          <w:rFonts w:ascii="仿宋" w:eastAsia="仿宋" w:hAnsi="仿宋" w:cs="仿宋"/>
        </w:rPr>
        <w:t>114.98</w:t>
      </w:r>
      <w:r>
        <w:rPr>
          <w:rFonts w:ascii="仿宋" w:eastAsia="仿宋" w:hAnsi="仿宋" w:cs="仿宋"/>
        </w:rPr>
        <w:t>万元，主要用于机关单位人员医疗支出。与上年相比减少</w:t>
      </w:r>
      <w:r>
        <w:rPr>
          <w:rFonts w:ascii="仿宋" w:eastAsia="仿宋" w:hAnsi="仿宋" w:cs="仿宋"/>
        </w:rPr>
        <w:t>15.3</w:t>
      </w:r>
      <w:r>
        <w:rPr>
          <w:rFonts w:ascii="仿宋" w:eastAsia="仿宋" w:hAnsi="仿宋" w:cs="仿宋"/>
        </w:rPr>
        <w:t>万元，减少</w:t>
      </w:r>
      <w:r>
        <w:rPr>
          <w:rFonts w:ascii="仿宋" w:eastAsia="仿宋" w:hAnsi="仿宋" w:cs="仿宋"/>
        </w:rPr>
        <w:t>11.74%</w:t>
      </w:r>
      <w:r>
        <w:rPr>
          <w:rFonts w:ascii="仿宋" w:eastAsia="仿宋" w:hAnsi="仿宋" w:cs="仿宋"/>
        </w:rPr>
        <w:t>。主要原因是机关事业单位医疗保险单位缴费基数调整。</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3</w:t>
      </w:r>
      <w:r>
        <w:rPr>
          <w:rFonts w:ascii="仿宋" w:eastAsia="仿宋" w:hAnsi="仿宋" w:cs="仿宋"/>
        </w:rPr>
        <w:t>）城乡社区支出（类）支出</w:t>
      </w:r>
      <w:r>
        <w:rPr>
          <w:rFonts w:ascii="仿宋" w:eastAsia="仿宋" w:hAnsi="仿宋" w:cs="仿宋"/>
        </w:rPr>
        <w:t>5,115.72</w:t>
      </w:r>
      <w:r>
        <w:rPr>
          <w:rFonts w:ascii="仿宋" w:eastAsia="仿宋" w:hAnsi="仿宋" w:cs="仿宋"/>
        </w:rPr>
        <w:t>万元，主要用于乡村振兴等工作性项目支出。与上年相比减少</w:t>
      </w:r>
      <w:r>
        <w:rPr>
          <w:rFonts w:ascii="仿宋" w:eastAsia="仿宋" w:hAnsi="仿宋" w:cs="仿宋"/>
        </w:rPr>
        <w:t>10,338.83</w:t>
      </w:r>
      <w:r>
        <w:rPr>
          <w:rFonts w:ascii="仿宋" w:eastAsia="仿宋" w:hAnsi="仿宋" w:cs="仿宋"/>
        </w:rPr>
        <w:t>万元，减少</w:t>
      </w:r>
      <w:r>
        <w:rPr>
          <w:rFonts w:ascii="仿宋" w:eastAsia="仿宋" w:hAnsi="仿宋" w:cs="仿宋"/>
        </w:rPr>
        <w:t>66.9%</w:t>
      </w:r>
      <w:r>
        <w:rPr>
          <w:rFonts w:ascii="仿宋" w:eastAsia="仿宋" w:hAnsi="仿宋" w:cs="仿宋"/>
        </w:rPr>
        <w:t>。主要原因是编制口径调整，原有该支出安排的工作性项目调整为由其他支出安排。</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4</w:t>
      </w:r>
      <w:r>
        <w:rPr>
          <w:rFonts w:ascii="仿宋" w:eastAsia="仿宋" w:hAnsi="仿宋" w:cs="仿宋"/>
        </w:rPr>
        <w:t>）农</w:t>
      </w:r>
      <w:r>
        <w:rPr>
          <w:rFonts w:ascii="仿宋" w:eastAsia="仿宋" w:hAnsi="仿宋" w:cs="仿宋"/>
        </w:rPr>
        <w:t>林水支出（类）支出</w:t>
      </w:r>
      <w:r>
        <w:rPr>
          <w:rFonts w:ascii="仿宋" w:eastAsia="仿宋" w:hAnsi="仿宋" w:cs="仿宋"/>
        </w:rPr>
        <w:t>3,318.57</w:t>
      </w:r>
      <w:r>
        <w:rPr>
          <w:rFonts w:ascii="仿宋" w:eastAsia="仿宋" w:hAnsi="仿宋" w:cs="仿宋"/>
        </w:rPr>
        <w:t>万元，主要用于林业工作性项目经费。与上年相比增加</w:t>
      </w:r>
      <w:r>
        <w:rPr>
          <w:rFonts w:ascii="仿宋" w:eastAsia="仿宋" w:hAnsi="仿宋" w:cs="仿宋"/>
        </w:rPr>
        <w:t>2,931.62</w:t>
      </w:r>
      <w:r>
        <w:rPr>
          <w:rFonts w:ascii="仿宋" w:eastAsia="仿宋" w:hAnsi="仿宋" w:cs="仿宋"/>
        </w:rPr>
        <w:t>万元，增长</w:t>
      </w:r>
      <w:r>
        <w:rPr>
          <w:rFonts w:ascii="仿宋" w:eastAsia="仿宋" w:hAnsi="仿宋" w:cs="仿宋"/>
        </w:rPr>
        <w:t>757.62%</w:t>
      </w:r>
      <w:r>
        <w:rPr>
          <w:rFonts w:ascii="仿宋" w:eastAsia="仿宋" w:hAnsi="仿宋" w:cs="仿宋"/>
        </w:rPr>
        <w:t>。主要原因是编制口径调整，原有其他支出安排的项目支出调整为由本功能科目安排支出。</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5</w:t>
      </w:r>
      <w:r>
        <w:rPr>
          <w:rFonts w:ascii="仿宋" w:eastAsia="仿宋" w:hAnsi="仿宋" w:cs="仿宋"/>
        </w:rPr>
        <w:t>）自然资源海洋气象等支出（类）支出</w:t>
      </w:r>
      <w:r>
        <w:rPr>
          <w:rFonts w:ascii="仿宋" w:eastAsia="仿宋" w:hAnsi="仿宋" w:cs="仿宋"/>
        </w:rPr>
        <w:t>7,490.73</w:t>
      </w:r>
      <w:r>
        <w:rPr>
          <w:rFonts w:ascii="仿宋" w:eastAsia="仿宋" w:hAnsi="仿宋" w:cs="仿宋"/>
        </w:rPr>
        <w:t>万元，主要用于</w:t>
      </w:r>
      <w:r>
        <w:rPr>
          <w:rFonts w:ascii="仿宋" w:eastAsia="仿宋" w:hAnsi="仿宋" w:cs="仿宋"/>
        </w:rPr>
        <w:t>1</w:t>
      </w:r>
      <w:r>
        <w:rPr>
          <w:rFonts w:ascii="仿宋" w:eastAsia="仿宋" w:hAnsi="仿宋" w:cs="仿宋"/>
        </w:rPr>
        <w:t>、人员及办公费用。</w:t>
      </w:r>
      <w:r>
        <w:rPr>
          <w:rFonts w:ascii="仿宋" w:eastAsia="仿宋" w:hAnsi="仿宋" w:cs="仿宋"/>
        </w:rPr>
        <w:t>2</w:t>
      </w:r>
      <w:r>
        <w:rPr>
          <w:rFonts w:ascii="仿宋" w:eastAsia="仿宋" w:hAnsi="仿宋" w:cs="仿宋"/>
        </w:rPr>
        <w:t>、国有土地管理专项方面的工作性项目支出。与上年相比增加</w:t>
      </w:r>
      <w:r>
        <w:rPr>
          <w:rFonts w:ascii="仿宋" w:eastAsia="仿宋" w:hAnsi="仿宋" w:cs="仿宋"/>
        </w:rPr>
        <w:t>3,842.33</w:t>
      </w:r>
      <w:r>
        <w:rPr>
          <w:rFonts w:ascii="仿宋" w:eastAsia="仿宋" w:hAnsi="仿宋" w:cs="仿宋"/>
        </w:rPr>
        <w:t>万元，增长</w:t>
      </w:r>
      <w:r>
        <w:rPr>
          <w:rFonts w:ascii="仿宋" w:eastAsia="仿宋" w:hAnsi="仿宋" w:cs="仿宋"/>
        </w:rPr>
        <w:t>105.32%</w:t>
      </w:r>
      <w:r>
        <w:rPr>
          <w:rFonts w:ascii="仿宋" w:eastAsia="仿宋" w:hAnsi="仿宋" w:cs="仿宋"/>
        </w:rPr>
        <w:t>。主要原因</w:t>
      </w:r>
      <w:r>
        <w:rPr>
          <w:rFonts w:ascii="仿宋" w:eastAsia="仿宋" w:hAnsi="仿宋" w:cs="仿宋"/>
        </w:rPr>
        <w:lastRenderedPageBreak/>
        <w:t>是编制口径调整，原有其他功能科目安排的项目支出调整为由本功能科目安排支出。</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6</w:t>
      </w:r>
      <w:r>
        <w:rPr>
          <w:rFonts w:ascii="仿宋" w:eastAsia="仿宋" w:hAnsi="仿宋" w:cs="仿宋"/>
        </w:rPr>
        <w:t>）住房保障支出（类）支出</w:t>
      </w:r>
      <w:r>
        <w:rPr>
          <w:rFonts w:ascii="仿宋" w:eastAsia="仿宋" w:hAnsi="仿宋" w:cs="仿宋"/>
        </w:rPr>
        <w:t>709.76</w:t>
      </w:r>
      <w:r>
        <w:rPr>
          <w:rFonts w:ascii="仿宋" w:eastAsia="仿宋" w:hAnsi="仿宋" w:cs="仿宋"/>
        </w:rPr>
        <w:t>万元，主要用于机关事业单位人员的住房公积金、提租补贴、购房补贴支出。与上年相比减少</w:t>
      </w:r>
      <w:r>
        <w:rPr>
          <w:rFonts w:ascii="仿宋" w:eastAsia="仿宋" w:hAnsi="仿宋" w:cs="仿宋"/>
        </w:rPr>
        <w:t>284.4</w:t>
      </w:r>
      <w:r>
        <w:rPr>
          <w:rFonts w:ascii="仿宋" w:eastAsia="仿宋" w:hAnsi="仿宋" w:cs="仿宋"/>
        </w:rPr>
        <w:t>万元，减少</w:t>
      </w:r>
      <w:r>
        <w:rPr>
          <w:rFonts w:ascii="仿宋" w:eastAsia="仿宋" w:hAnsi="仿宋" w:cs="仿宋"/>
        </w:rPr>
        <w:t>28.61%</w:t>
      </w:r>
      <w:r>
        <w:rPr>
          <w:rFonts w:ascii="仿宋" w:eastAsia="仿宋" w:hAnsi="仿宋" w:cs="仿宋"/>
        </w:rPr>
        <w:t>。主要原因是公积金、提租补贴及新职工住房补贴的基数调减。</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．年终结转结余为</w:t>
      </w:r>
      <w:r>
        <w:rPr>
          <w:rFonts w:ascii="仿宋" w:eastAsia="仿宋" w:hAnsi="仿宋" w:cs="仿宋"/>
        </w:rPr>
        <w:t>0</w:t>
      </w:r>
      <w:r>
        <w:rPr>
          <w:rFonts w:ascii="仿宋" w:eastAsia="仿宋" w:hAnsi="仿宋" w:cs="仿宋"/>
        </w:rPr>
        <w:t>万元。</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二、收入预算情况说明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年收入预算合计</w:t>
      </w:r>
      <w:r>
        <w:rPr>
          <w:rFonts w:ascii="仿宋" w:eastAsia="仿宋" w:hAnsi="仿宋" w:cs="仿宋"/>
        </w:rPr>
        <w:t>17,110.47</w:t>
      </w:r>
      <w:r>
        <w:rPr>
          <w:rFonts w:ascii="仿宋" w:eastAsia="仿宋" w:hAnsi="仿宋" w:cs="仿宋"/>
        </w:rPr>
        <w:t>万元，包括本年收入</w:t>
      </w:r>
      <w:r>
        <w:rPr>
          <w:rFonts w:ascii="仿宋" w:eastAsia="仿宋" w:hAnsi="仿宋" w:cs="仿宋"/>
        </w:rPr>
        <w:t>17,110.47</w:t>
      </w:r>
      <w:r>
        <w:rPr>
          <w:rFonts w:ascii="仿宋" w:eastAsia="仿宋" w:hAnsi="仿宋" w:cs="仿宋"/>
        </w:rPr>
        <w:t>万元，上年结转结余</w:t>
      </w:r>
      <w:r>
        <w:rPr>
          <w:rFonts w:ascii="仿宋" w:eastAsia="仿宋" w:hAnsi="仿宋" w:cs="仿宋"/>
        </w:rPr>
        <w:t>0</w:t>
      </w:r>
      <w:r>
        <w:rPr>
          <w:rFonts w:ascii="仿宋" w:eastAsia="仿宋" w:hAnsi="仿宋" w:cs="仿宋"/>
        </w:rPr>
        <w:t>万元。</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其中：</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本年一般公共预算收入</w:t>
      </w:r>
      <w:r>
        <w:rPr>
          <w:rFonts w:ascii="仿宋" w:eastAsia="仿宋" w:hAnsi="仿宋" w:cs="仿宋"/>
        </w:rPr>
        <w:t>12,110.47</w:t>
      </w:r>
      <w:r>
        <w:rPr>
          <w:rFonts w:ascii="仿宋" w:eastAsia="仿宋" w:hAnsi="仿宋" w:cs="仿宋"/>
        </w:rPr>
        <w:t>万元，占</w:t>
      </w:r>
      <w:r>
        <w:rPr>
          <w:rFonts w:ascii="仿宋" w:eastAsia="仿宋" w:hAnsi="仿宋" w:cs="仿宋"/>
        </w:rPr>
        <w:t>70.78%</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本年政府性基金预算收入</w:t>
      </w:r>
      <w:r>
        <w:rPr>
          <w:rFonts w:ascii="仿宋" w:eastAsia="仿宋" w:hAnsi="仿宋" w:cs="仿宋"/>
        </w:rPr>
        <w:t>5,000</w:t>
      </w:r>
      <w:r>
        <w:rPr>
          <w:rFonts w:ascii="仿宋" w:eastAsia="仿宋" w:hAnsi="仿宋" w:cs="仿宋"/>
        </w:rPr>
        <w:t>万元，占</w:t>
      </w:r>
      <w:r>
        <w:rPr>
          <w:rFonts w:ascii="仿宋" w:eastAsia="仿宋" w:hAnsi="仿宋" w:cs="仿宋"/>
        </w:rPr>
        <w:t>29.</w:t>
      </w:r>
      <w:r>
        <w:rPr>
          <w:rFonts w:ascii="仿宋" w:eastAsia="仿宋" w:hAnsi="仿宋" w:cs="仿宋"/>
        </w:rPr>
        <w:t>22%</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本年国有资本经营预算收入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本年财政专户管理资金</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本年事业收入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本年事业单位经营收入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本年上级补助收入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本年附属单位上缴收入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本年其他收入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上年结转结余的一般公共预算收入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上年结转结余的政府性基金预算收入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上年结转结余的国有资本经营预算收入</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上年结转结余的财政专户管理资金</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上年结转结余的单位资金</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3" w:right="420" w:firstLine="3"/>
        <w:jc w:val="center"/>
        <w:rPr>
          <w:rFonts w:ascii="仿宋" w:eastAsia="仿宋" w:hAnsi="仿宋" w:cs="仿宋"/>
          <w:lang w:val="en-US"/>
        </w:rPr>
      </w:pPr>
      <w:r>
        <w:rPr>
          <w:rFonts w:ascii="仿宋" w:eastAsia="仿宋" w:hAnsi="仿宋" w:cs="仿宋" w:hint="eastAsia"/>
          <w:noProof/>
          <w:lang w:val="en-US" w:bidi="ar-SA"/>
        </w:rPr>
        <w:drawing>
          <wp:inline distT="0" distB="0" distL="0" distR="0">
            <wp:extent cx="6134100" cy="3429000"/>
            <wp:effectExtent l="0" t="0" r="0" b="0"/>
            <wp:docPr id="1" name="Drawing 1" descr="Generated"/>
            <wp:cNvGraphicFramePr/>
            <a:graphic xmlns:a="http://schemas.openxmlformats.org/drawingml/2006/main">
              <a:graphicData uri="http://schemas.openxmlformats.org/drawingml/2006/picture">
                <pic:pic xmlns:pic="http://schemas.openxmlformats.org/drawingml/2006/picture">
                  <pic:nvPicPr>
                    <pic:cNvPr id="0" name="Picture 1" descr="Generated"/>
                    <pic:cNvPicPr>
                      <a:picLocks noChangeAspect="1"/>
                    </pic:cNvPicPr>
                  </pic:nvPicPr>
                  <pic:blipFill>
                    <a:blip r:embed="rId24"/>
                    <a:stretch>
                      <a:fillRect/>
                    </a:stretch>
                  </pic:blipFill>
                  <pic:spPr>
                    <a:xfrm>
                      <a:off x="0" y="0"/>
                      <a:ext cx="6134100" cy="3429000"/>
                    </a:xfrm>
                    <a:prstGeom prst="rect">
                      <a:avLst/>
                    </a:prstGeom>
                  </pic:spPr>
                </pic:pic>
              </a:graphicData>
            </a:graphic>
          </wp:inline>
        </w:drawing>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三、支出预算情况说明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年支出预算合计</w:t>
      </w:r>
      <w:r>
        <w:rPr>
          <w:rFonts w:ascii="仿宋" w:eastAsia="仿宋" w:hAnsi="仿宋" w:cs="仿宋"/>
        </w:rPr>
        <w:t>17,110.47</w:t>
      </w:r>
      <w:r>
        <w:rPr>
          <w:rFonts w:ascii="仿宋" w:eastAsia="仿宋" w:hAnsi="仿宋" w:cs="仿宋"/>
        </w:rPr>
        <w:t>万元，其中：</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基本支出</w:t>
      </w:r>
      <w:r>
        <w:rPr>
          <w:rFonts w:ascii="仿宋" w:eastAsia="仿宋" w:hAnsi="仿宋" w:cs="仿宋"/>
        </w:rPr>
        <w:t>3,175.77</w:t>
      </w:r>
      <w:r>
        <w:rPr>
          <w:rFonts w:ascii="仿宋" w:eastAsia="仿宋" w:hAnsi="仿宋" w:cs="仿宋"/>
        </w:rPr>
        <w:t>万元，占</w:t>
      </w:r>
      <w:r>
        <w:rPr>
          <w:rFonts w:ascii="仿宋" w:eastAsia="仿宋" w:hAnsi="仿宋" w:cs="仿宋"/>
        </w:rPr>
        <w:t>18.56%</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项目支出</w:t>
      </w:r>
      <w:r>
        <w:rPr>
          <w:rFonts w:ascii="仿宋" w:eastAsia="仿宋" w:hAnsi="仿宋" w:cs="仿宋"/>
        </w:rPr>
        <w:t>13,934.7</w:t>
      </w:r>
      <w:r>
        <w:rPr>
          <w:rFonts w:ascii="仿宋" w:eastAsia="仿宋" w:hAnsi="仿宋" w:cs="仿宋"/>
        </w:rPr>
        <w:t>万元，占</w:t>
      </w:r>
      <w:r>
        <w:rPr>
          <w:rFonts w:ascii="仿宋" w:eastAsia="仿宋" w:hAnsi="仿宋" w:cs="仿宋"/>
        </w:rPr>
        <w:t>81.44%</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事业单位经营支出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上缴上级支出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对附属单位补助支出</w:t>
      </w:r>
      <w:r>
        <w:rPr>
          <w:rFonts w:ascii="仿宋" w:eastAsia="仿宋" w:hAnsi="仿宋" w:cs="仿宋"/>
        </w:rPr>
        <w:t>0</w:t>
      </w:r>
      <w:r>
        <w:rPr>
          <w:rFonts w:ascii="仿宋" w:eastAsia="仿宋" w:hAnsi="仿宋" w:cs="仿宋"/>
        </w:rPr>
        <w:t>万元，占</w:t>
      </w:r>
      <w:r>
        <w:rPr>
          <w:rFonts w:ascii="仿宋" w:eastAsia="仿宋" w:hAnsi="仿宋" w:cs="仿宋"/>
        </w:rPr>
        <w:t>0%</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3" w:right="420" w:firstLine="3"/>
        <w:jc w:val="center"/>
        <w:rPr>
          <w:rFonts w:ascii="仿宋" w:eastAsia="仿宋" w:hAnsi="仿宋" w:cs="仿宋"/>
          <w:lang w:val="en-US"/>
        </w:rPr>
      </w:pPr>
      <w:r>
        <w:rPr>
          <w:rFonts w:ascii="仿宋" w:eastAsia="仿宋" w:hAnsi="仿宋" w:cs="仿宋" w:hint="eastAsia"/>
          <w:noProof/>
          <w:lang w:val="en-US" w:bidi="ar-SA"/>
        </w:rPr>
        <w:lastRenderedPageBreak/>
        <w:drawing>
          <wp:inline distT="0" distB="0" distL="0" distR="0">
            <wp:extent cx="6134100" cy="3429000"/>
            <wp:effectExtent l="0" t="0" r="0" b="0"/>
            <wp:docPr id="2" name="Drawing 2" descr="Generated"/>
            <wp:cNvGraphicFramePr/>
            <a:graphic xmlns:a="http://schemas.openxmlformats.org/drawingml/2006/main">
              <a:graphicData uri="http://schemas.openxmlformats.org/drawingml/2006/picture">
                <pic:pic xmlns:pic="http://schemas.openxmlformats.org/drawingml/2006/picture">
                  <pic:nvPicPr>
                    <pic:cNvPr id="0" name="Picture 2" descr="Generated"/>
                    <pic:cNvPicPr>
                      <a:picLocks noChangeAspect="1"/>
                    </pic:cNvPicPr>
                  </pic:nvPicPr>
                  <pic:blipFill>
                    <a:blip r:embed="rId25"/>
                    <a:stretch>
                      <a:fillRect/>
                    </a:stretch>
                  </pic:blipFill>
                  <pic:spPr>
                    <a:xfrm>
                      <a:off x="0" y="0"/>
                      <a:ext cx="6134100" cy="3429000"/>
                    </a:xfrm>
                    <a:prstGeom prst="rect">
                      <a:avLst/>
                    </a:prstGeom>
                  </pic:spPr>
                </pic:pic>
              </a:graphicData>
            </a:graphic>
          </wp:inline>
        </w:drawing>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四、财政拨款收支预算总体情况说明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年度财政拨款收、支总预算</w:t>
      </w:r>
      <w:r>
        <w:rPr>
          <w:rFonts w:ascii="仿宋" w:eastAsia="仿宋" w:hAnsi="仿宋" w:cs="仿宋"/>
        </w:rPr>
        <w:t>17,110.47</w:t>
      </w:r>
      <w:r>
        <w:rPr>
          <w:rFonts w:ascii="仿宋" w:eastAsia="仿宋" w:hAnsi="仿宋" w:cs="仿宋"/>
        </w:rPr>
        <w:t>万元。与上年相比，财政拨款收、支总计各减少</w:t>
      </w:r>
      <w:r>
        <w:rPr>
          <w:rFonts w:ascii="仿宋" w:eastAsia="仿宋" w:hAnsi="仿宋" w:cs="仿宋"/>
        </w:rPr>
        <w:t>3,777.58</w:t>
      </w:r>
      <w:r>
        <w:rPr>
          <w:rFonts w:ascii="仿宋" w:eastAsia="仿宋" w:hAnsi="仿宋" w:cs="仿宋"/>
        </w:rPr>
        <w:t>万元，减少</w:t>
      </w:r>
      <w:r>
        <w:rPr>
          <w:rFonts w:ascii="仿宋" w:eastAsia="仿宋" w:hAnsi="仿宋" w:cs="仿宋"/>
        </w:rPr>
        <w:t>18.08%</w:t>
      </w:r>
      <w:r>
        <w:rPr>
          <w:rFonts w:ascii="仿宋" w:eastAsia="仿宋" w:hAnsi="仿宋" w:cs="仿宋"/>
        </w:rPr>
        <w:t>。主要原因是厉行节约，工作性项目减少。</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五、财政拨款支出预算情况说明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年财政拨款预算支出</w:t>
      </w:r>
      <w:r>
        <w:rPr>
          <w:rFonts w:ascii="仿宋" w:eastAsia="仿宋" w:hAnsi="仿宋" w:cs="仿宋"/>
        </w:rPr>
        <w:t>17,110.47</w:t>
      </w:r>
      <w:r>
        <w:rPr>
          <w:rFonts w:ascii="仿宋" w:eastAsia="仿宋" w:hAnsi="仿宋" w:cs="仿宋"/>
        </w:rPr>
        <w:t>万元，占本年支出合计的</w:t>
      </w:r>
      <w:r>
        <w:rPr>
          <w:rFonts w:ascii="仿宋" w:eastAsia="仿宋" w:hAnsi="仿宋" w:cs="仿宋"/>
        </w:rPr>
        <w:t>100%</w:t>
      </w:r>
      <w:r>
        <w:rPr>
          <w:rFonts w:ascii="仿宋" w:eastAsia="仿宋" w:hAnsi="仿宋" w:cs="仿宋"/>
        </w:rPr>
        <w:t>。与上年相比，财政拨款支出减少</w:t>
      </w:r>
      <w:r>
        <w:rPr>
          <w:rFonts w:ascii="仿宋" w:eastAsia="仿宋" w:hAnsi="仿宋" w:cs="仿宋"/>
        </w:rPr>
        <w:t>3,777.58</w:t>
      </w:r>
      <w:r>
        <w:rPr>
          <w:rFonts w:ascii="仿宋" w:eastAsia="仿宋" w:hAnsi="仿宋" w:cs="仿宋"/>
        </w:rPr>
        <w:t>万元，减少</w:t>
      </w:r>
      <w:r>
        <w:rPr>
          <w:rFonts w:ascii="仿宋" w:eastAsia="仿宋" w:hAnsi="仿宋" w:cs="仿宋"/>
        </w:rPr>
        <w:t>18.08%</w:t>
      </w:r>
      <w:r>
        <w:rPr>
          <w:rFonts w:ascii="仿宋" w:eastAsia="仿宋" w:hAnsi="仿宋" w:cs="仿宋"/>
        </w:rPr>
        <w:t>。主要原因是厉行节约，工作性项目减少。</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其中：</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（一）社会保障和就业支出（类）</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行政事业单位养老支出（款）</w:t>
      </w:r>
      <w:r>
        <w:rPr>
          <w:rFonts w:ascii="仿宋" w:eastAsia="仿宋" w:hAnsi="仿宋" w:cs="仿宋"/>
        </w:rPr>
        <w:t>机关事业单位基本养老保险缴费支出（项）支出</w:t>
      </w:r>
      <w:r>
        <w:rPr>
          <w:rFonts w:ascii="仿宋" w:eastAsia="仿宋" w:hAnsi="仿宋" w:cs="仿宋"/>
        </w:rPr>
        <w:t>240.47</w:t>
      </w:r>
      <w:r>
        <w:rPr>
          <w:rFonts w:ascii="仿宋" w:eastAsia="仿宋" w:hAnsi="仿宋" w:cs="仿宋"/>
        </w:rPr>
        <w:t>万元，与上年相比增加</w:t>
      </w:r>
      <w:r>
        <w:rPr>
          <w:rFonts w:ascii="仿宋" w:eastAsia="仿宋" w:hAnsi="仿宋" w:cs="仿宋"/>
        </w:rPr>
        <w:t>58</w:t>
      </w:r>
      <w:r>
        <w:rPr>
          <w:rFonts w:ascii="仿宋" w:eastAsia="仿宋" w:hAnsi="仿宋" w:cs="仿宋"/>
        </w:rPr>
        <w:t>万元，增长</w:t>
      </w:r>
      <w:r>
        <w:rPr>
          <w:rFonts w:ascii="仿宋" w:eastAsia="仿宋" w:hAnsi="仿宋" w:cs="仿宋"/>
        </w:rPr>
        <w:lastRenderedPageBreak/>
        <w:t>31.79%</w:t>
      </w:r>
      <w:r>
        <w:rPr>
          <w:rFonts w:ascii="仿宋" w:eastAsia="仿宋" w:hAnsi="仿宋" w:cs="仿宋"/>
        </w:rPr>
        <w:t>。主要原因是机关事业单位基本养老保险缴费基数调整，故支出增加。</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行政事业单位养老支出（款）机关事业单位职业年金缴费支出（项）支出</w:t>
      </w:r>
      <w:r>
        <w:rPr>
          <w:rFonts w:ascii="仿宋" w:eastAsia="仿宋" w:hAnsi="仿宋" w:cs="仿宋"/>
        </w:rPr>
        <w:t>120.24</w:t>
      </w:r>
      <w:r>
        <w:rPr>
          <w:rFonts w:ascii="仿宋" w:eastAsia="仿宋" w:hAnsi="仿宋" w:cs="仿宋"/>
        </w:rPr>
        <w:t>万元，与上年相比增加</w:t>
      </w:r>
      <w:r>
        <w:rPr>
          <w:rFonts w:ascii="仿宋" w:eastAsia="仿宋" w:hAnsi="仿宋" w:cs="仿宋"/>
        </w:rPr>
        <w:t>29</w:t>
      </w:r>
      <w:r>
        <w:rPr>
          <w:rFonts w:ascii="仿宋" w:eastAsia="仿宋" w:hAnsi="仿宋" w:cs="仿宋"/>
        </w:rPr>
        <w:t>万元，增长</w:t>
      </w:r>
      <w:r>
        <w:rPr>
          <w:rFonts w:ascii="仿宋" w:eastAsia="仿宋" w:hAnsi="仿宋" w:cs="仿宋"/>
        </w:rPr>
        <w:t>31.78%</w:t>
      </w:r>
      <w:r>
        <w:rPr>
          <w:rFonts w:ascii="仿宋" w:eastAsia="仿宋" w:hAnsi="仿宋" w:cs="仿宋"/>
        </w:rPr>
        <w:t>。主要原因是机关事业单位职业年金缴费基数调整，故支出增加。</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（二）卫生健康支出（类）</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行政事业单位医疗（款）行政单位医疗（项）支出</w:t>
      </w:r>
      <w:r>
        <w:rPr>
          <w:rFonts w:ascii="仿宋" w:eastAsia="仿宋" w:hAnsi="仿宋" w:cs="仿宋"/>
        </w:rPr>
        <w:t>114.98</w:t>
      </w:r>
      <w:r>
        <w:rPr>
          <w:rFonts w:ascii="仿宋" w:eastAsia="仿宋" w:hAnsi="仿宋" w:cs="仿宋"/>
        </w:rPr>
        <w:t>万元，与上年相比减少</w:t>
      </w:r>
      <w:r>
        <w:rPr>
          <w:rFonts w:ascii="仿宋" w:eastAsia="仿宋" w:hAnsi="仿宋" w:cs="仿宋"/>
        </w:rPr>
        <w:t>15.3</w:t>
      </w:r>
      <w:r>
        <w:rPr>
          <w:rFonts w:ascii="仿宋" w:eastAsia="仿宋" w:hAnsi="仿宋" w:cs="仿宋"/>
        </w:rPr>
        <w:t>万元，减少</w:t>
      </w:r>
      <w:r>
        <w:rPr>
          <w:rFonts w:ascii="仿宋" w:eastAsia="仿宋" w:hAnsi="仿宋" w:cs="仿宋"/>
        </w:rPr>
        <w:t>11.74%</w:t>
      </w:r>
      <w:r>
        <w:rPr>
          <w:rFonts w:ascii="仿宋" w:eastAsia="仿宋" w:hAnsi="仿宋" w:cs="仿宋"/>
        </w:rPr>
        <w:t>。主要原因是机关事业单位医疗缴</w:t>
      </w:r>
      <w:r>
        <w:rPr>
          <w:rFonts w:ascii="仿宋" w:eastAsia="仿宋" w:hAnsi="仿宋" w:cs="仿宋"/>
        </w:rPr>
        <w:t>费基数调整。</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（三）城乡社区支出（类）</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城乡社区规划与管理（款）城乡社区规划与管理（项）支出</w:t>
      </w:r>
      <w:r>
        <w:rPr>
          <w:rFonts w:ascii="仿宋" w:eastAsia="仿宋" w:hAnsi="仿宋" w:cs="仿宋"/>
        </w:rPr>
        <w:t>115.72</w:t>
      </w:r>
      <w:r>
        <w:rPr>
          <w:rFonts w:ascii="仿宋" w:eastAsia="仿宋" w:hAnsi="仿宋" w:cs="仿宋"/>
        </w:rPr>
        <w:t>万元，与上年相比减少</w:t>
      </w:r>
      <w:r>
        <w:rPr>
          <w:rFonts w:ascii="仿宋" w:eastAsia="仿宋" w:hAnsi="仿宋" w:cs="仿宋"/>
        </w:rPr>
        <w:t>13.68</w:t>
      </w:r>
      <w:r>
        <w:rPr>
          <w:rFonts w:ascii="仿宋" w:eastAsia="仿宋" w:hAnsi="仿宋" w:cs="仿宋"/>
        </w:rPr>
        <w:t>万元，减少</w:t>
      </w:r>
      <w:r>
        <w:rPr>
          <w:rFonts w:ascii="仿宋" w:eastAsia="仿宋" w:hAnsi="仿宋" w:cs="仿宋"/>
        </w:rPr>
        <w:t>10.57%</w:t>
      </w:r>
      <w:r>
        <w:rPr>
          <w:rFonts w:ascii="仿宋" w:eastAsia="仿宋" w:hAnsi="仿宋" w:cs="仿宋"/>
        </w:rPr>
        <w:t>。主要原因是厉行节约，项目支出减少。</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国有土地使用权出让收入安排的支出（款）土地开发支出（项）支出</w:t>
      </w:r>
      <w:r>
        <w:rPr>
          <w:rFonts w:ascii="仿宋" w:eastAsia="仿宋" w:hAnsi="仿宋" w:cs="仿宋"/>
        </w:rPr>
        <w:t>0</w:t>
      </w:r>
      <w:r>
        <w:rPr>
          <w:rFonts w:ascii="仿宋" w:eastAsia="仿宋" w:hAnsi="仿宋" w:cs="仿宋"/>
        </w:rPr>
        <w:t>万元，与上年相比减少</w:t>
      </w:r>
      <w:r>
        <w:rPr>
          <w:rFonts w:ascii="仿宋" w:eastAsia="仿宋" w:hAnsi="仿宋" w:cs="仿宋"/>
        </w:rPr>
        <w:t>9,308</w:t>
      </w:r>
      <w:r>
        <w:rPr>
          <w:rFonts w:ascii="仿宋" w:eastAsia="仿宋" w:hAnsi="仿宋" w:cs="仿宋"/>
        </w:rPr>
        <w:t>万元，减少</w:t>
      </w:r>
      <w:r>
        <w:rPr>
          <w:rFonts w:ascii="仿宋" w:eastAsia="仿宋" w:hAnsi="仿宋" w:cs="仿宋"/>
        </w:rPr>
        <w:t>100%</w:t>
      </w:r>
      <w:r>
        <w:rPr>
          <w:rFonts w:ascii="仿宋" w:eastAsia="仿宋" w:hAnsi="仿宋" w:cs="仿宋"/>
        </w:rPr>
        <w:t>。主要原因是因编制口径调整，原由该功能科目安排的项目支出调由其他功能科目安排。</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国有土地使用权出让收入安排的支出（款）土地出让业务支出（项）支出</w:t>
      </w:r>
      <w:r>
        <w:rPr>
          <w:rFonts w:ascii="仿宋" w:eastAsia="仿宋" w:hAnsi="仿宋" w:cs="仿宋"/>
        </w:rPr>
        <w:t>0</w:t>
      </w:r>
      <w:r>
        <w:rPr>
          <w:rFonts w:ascii="仿宋" w:eastAsia="仿宋" w:hAnsi="仿宋" w:cs="仿宋"/>
        </w:rPr>
        <w:t>万元，与上年相比减少</w:t>
      </w:r>
      <w:r>
        <w:rPr>
          <w:rFonts w:ascii="仿宋" w:eastAsia="仿宋" w:hAnsi="仿宋" w:cs="仿宋"/>
        </w:rPr>
        <w:t>290</w:t>
      </w:r>
      <w:r>
        <w:rPr>
          <w:rFonts w:ascii="仿宋" w:eastAsia="仿宋" w:hAnsi="仿宋" w:cs="仿宋"/>
        </w:rPr>
        <w:t>万元，减少</w:t>
      </w:r>
      <w:r>
        <w:rPr>
          <w:rFonts w:ascii="仿宋" w:eastAsia="仿宋" w:hAnsi="仿宋" w:cs="仿宋"/>
        </w:rPr>
        <w:t>100%</w:t>
      </w:r>
      <w:r>
        <w:rPr>
          <w:rFonts w:ascii="仿宋" w:eastAsia="仿宋" w:hAnsi="仿宋" w:cs="仿宋"/>
        </w:rPr>
        <w:t>。主要</w:t>
      </w:r>
      <w:r>
        <w:rPr>
          <w:rFonts w:ascii="仿宋" w:eastAsia="仿宋" w:hAnsi="仿宋" w:cs="仿宋"/>
        </w:rPr>
        <w:t>原因是因编制口径调整，原由该功能科目安排的项目支出调由其他功能科目安排。</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4.</w:t>
      </w:r>
      <w:r>
        <w:rPr>
          <w:rFonts w:ascii="仿宋" w:eastAsia="仿宋" w:hAnsi="仿宋" w:cs="仿宋"/>
        </w:rPr>
        <w:t>国有土地使用权出让收入安排的支出（款）农业生产发展支</w:t>
      </w:r>
      <w:r>
        <w:rPr>
          <w:rFonts w:ascii="仿宋" w:eastAsia="仿宋" w:hAnsi="仿宋" w:cs="仿宋"/>
        </w:rPr>
        <w:lastRenderedPageBreak/>
        <w:t>出（项）支出</w:t>
      </w:r>
      <w:r>
        <w:rPr>
          <w:rFonts w:ascii="仿宋" w:eastAsia="仿宋" w:hAnsi="仿宋" w:cs="仿宋"/>
        </w:rPr>
        <w:t>3,500</w:t>
      </w:r>
      <w:r>
        <w:rPr>
          <w:rFonts w:ascii="仿宋" w:eastAsia="仿宋" w:hAnsi="仿宋" w:cs="仿宋"/>
        </w:rPr>
        <w:t>万元，与上年相比增加</w:t>
      </w:r>
      <w:r>
        <w:rPr>
          <w:rFonts w:ascii="仿宋" w:eastAsia="仿宋" w:hAnsi="仿宋" w:cs="仿宋"/>
        </w:rPr>
        <w:t>2,724.59</w:t>
      </w:r>
      <w:r>
        <w:rPr>
          <w:rFonts w:ascii="仿宋" w:eastAsia="仿宋" w:hAnsi="仿宋" w:cs="仿宋"/>
        </w:rPr>
        <w:t>万元，增长</w:t>
      </w:r>
      <w:r>
        <w:rPr>
          <w:rFonts w:ascii="仿宋" w:eastAsia="仿宋" w:hAnsi="仿宋" w:cs="仿宋"/>
        </w:rPr>
        <w:t>351.37%</w:t>
      </w:r>
      <w:r>
        <w:rPr>
          <w:rFonts w:ascii="仿宋" w:eastAsia="仿宋" w:hAnsi="仿宋" w:cs="仿宋"/>
        </w:rPr>
        <w:t>。主要原因是增加了乡村振兴工作项目。</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5.</w:t>
      </w:r>
      <w:r>
        <w:rPr>
          <w:rFonts w:ascii="仿宋" w:eastAsia="仿宋" w:hAnsi="仿宋" w:cs="仿宋"/>
        </w:rPr>
        <w:t>国有土地使用权出让收入安排的支出（款）农业农村生态环境支出（项）支出</w:t>
      </w:r>
      <w:r>
        <w:rPr>
          <w:rFonts w:ascii="仿宋" w:eastAsia="仿宋" w:hAnsi="仿宋" w:cs="仿宋"/>
        </w:rPr>
        <w:t>1,500</w:t>
      </w:r>
      <w:r>
        <w:rPr>
          <w:rFonts w:ascii="仿宋" w:eastAsia="仿宋" w:hAnsi="仿宋" w:cs="仿宋"/>
        </w:rPr>
        <w:t>万元，与上年相比减少</w:t>
      </w:r>
      <w:r>
        <w:rPr>
          <w:rFonts w:ascii="仿宋" w:eastAsia="仿宋" w:hAnsi="仿宋" w:cs="仿宋"/>
        </w:rPr>
        <w:t>3,451.74</w:t>
      </w:r>
      <w:r>
        <w:rPr>
          <w:rFonts w:ascii="仿宋" w:eastAsia="仿宋" w:hAnsi="仿宋" w:cs="仿宋"/>
        </w:rPr>
        <w:t>万元，减少</w:t>
      </w:r>
      <w:r>
        <w:rPr>
          <w:rFonts w:ascii="仿宋" w:eastAsia="仿宋" w:hAnsi="仿宋" w:cs="仿宋"/>
        </w:rPr>
        <w:t>69.71%</w:t>
      </w:r>
      <w:r>
        <w:rPr>
          <w:rFonts w:ascii="仿宋" w:eastAsia="仿宋" w:hAnsi="仿宋" w:cs="仿宋"/>
        </w:rPr>
        <w:t>。主要原因是增加了乡村振兴工作项目。</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（四）农林水支出（类）</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林业和草原（款）其他林业和草原支出（项）支出</w:t>
      </w:r>
      <w:r>
        <w:rPr>
          <w:rFonts w:ascii="仿宋" w:eastAsia="仿宋" w:hAnsi="仿宋" w:cs="仿宋"/>
        </w:rPr>
        <w:t>3,318.57</w:t>
      </w:r>
      <w:r>
        <w:rPr>
          <w:rFonts w:ascii="仿宋" w:eastAsia="仿宋" w:hAnsi="仿宋" w:cs="仿宋"/>
        </w:rPr>
        <w:t>万元，与上年相比增加</w:t>
      </w:r>
      <w:r>
        <w:rPr>
          <w:rFonts w:ascii="仿宋" w:eastAsia="仿宋" w:hAnsi="仿宋" w:cs="仿宋"/>
        </w:rPr>
        <w:t>2,931.62</w:t>
      </w:r>
      <w:r>
        <w:rPr>
          <w:rFonts w:ascii="仿宋" w:eastAsia="仿宋" w:hAnsi="仿宋" w:cs="仿宋"/>
        </w:rPr>
        <w:t>万元，增长</w:t>
      </w:r>
      <w:r>
        <w:rPr>
          <w:rFonts w:ascii="仿宋" w:eastAsia="仿宋" w:hAnsi="仿宋" w:cs="仿宋"/>
        </w:rPr>
        <w:t>757.62%</w:t>
      </w:r>
      <w:r>
        <w:rPr>
          <w:rFonts w:ascii="仿宋" w:eastAsia="仿宋" w:hAnsi="仿宋" w:cs="仿宋"/>
        </w:rPr>
        <w:t>。主要原因是因编制口径调整，原由其他功能科目安排的项目支出调由本功能科目安排</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（五）自然资源海洋气象等支出（类）</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自然资源事务（款）行政运行（项）支出</w:t>
      </w:r>
      <w:r>
        <w:rPr>
          <w:rFonts w:ascii="仿宋" w:eastAsia="仿宋" w:hAnsi="仿宋" w:cs="仿宋"/>
        </w:rPr>
        <w:t>1,990.32</w:t>
      </w:r>
      <w:r>
        <w:rPr>
          <w:rFonts w:ascii="仿宋" w:eastAsia="仿宋" w:hAnsi="仿宋" w:cs="仿宋"/>
        </w:rPr>
        <w:t>万元，与上年相比增加</w:t>
      </w:r>
      <w:r>
        <w:rPr>
          <w:rFonts w:ascii="仿宋" w:eastAsia="仿宋" w:hAnsi="仿宋" w:cs="仿宋"/>
        </w:rPr>
        <w:t>334.05</w:t>
      </w:r>
      <w:r>
        <w:rPr>
          <w:rFonts w:ascii="仿宋" w:eastAsia="仿宋" w:hAnsi="仿宋" w:cs="仿宋"/>
        </w:rPr>
        <w:t>万元，增长</w:t>
      </w:r>
      <w:r>
        <w:rPr>
          <w:rFonts w:ascii="仿宋" w:eastAsia="仿宋" w:hAnsi="仿宋" w:cs="仿宋"/>
        </w:rPr>
        <w:t>20.17%</w:t>
      </w:r>
      <w:r>
        <w:rPr>
          <w:rFonts w:ascii="仿宋" w:eastAsia="仿宋" w:hAnsi="仿宋" w:cs="仿宋"/>
        </w:rPr>
        <w:t>。主要原因是</w:t>
      </w:r>
      <w:r>
        <w:rPr>
          <w:rFonts w:ascii="仿宋" w:eastAsia="仿宋" w:hAnsi="仿宋" w:cs="仿宋"/>
        </w:rPr>
        <w:t>1</w:t>
      </w:r>
      <w:r>
        <w:rPr>
          <w:rFonts w:ascii="仿宋" w:eastAsia="仿宋" w:hAnsi="仿宋" w:cs="仿宋"/>
        </w:rPr>
        <w:t>、人员费用增加。</w:t>
      </w:r>
      <w:r>
        <w:rPr>
          <w:rFonts w:ascii="仿宋" w:eastAsia="仿宋" w:hAnsi="仿宋" w:cs="仿宋"/>
        </w:rPr>
        <w:t>2</w:t>
      </w:r>
      <w:r>
        <w:rPr>
          <w:rFonts w:ascii="仿宋" w:eastAsia="仿宋" w:hAnsi="仿宋" w:cs="仿宋"/>
        </w:rPr>
        <w:t>、工作性运转类项目增加。</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自然资源事务（款）自然资源行业业务管理（项）支出</w:t>
      </w:r>
      <w:r>
        <w:rPr>
          <w:rFonts w:ascii="仿宋" w:eastAsia="仿宋" w:hAnsi="仿宋" w:cs="仿宋"/>
        </w:rPr>
        <w:t>2,273.52</w:t>
      </w:r>
      <w:r>
        <w:rPr>
          <w:rFonts w:ascii="仿宋" w:eastAsia="仿宋" w:hAnsi="仿宋" w:cs="仿宋"/>
        </w:rPr>
        <w:t>万元，与上年相比增加</w:t>
      </w:r>
      <w:r>
        <w:rPr>
          <w:rFonts w:ascii="仿宋" w:eastAsia="仿宋" w:hAnsi="仿宋" w:cs="仿宋"/>
        </w:rPr>
        <w:t>281.39</w:t>
      </w:r>
      <w:r>
        <w:rPr>
          <w:rFonts w:ascii="仿宋" w:eastAsia="仿宋" w:hAnsi="仿宋" w:cs="仿宋"/>
        </w:rPr>
        <w:t>万元，增长</w:t>
      </w:r>
      <w:r>
        <w:rPr>
          <w:rFonts w:ascii="仿宋" w:eastAsia="仿宋" w:hAnsi="仿宋" w:cs="仿宋"/>
        </w:rPr>
        <w:t>14.13%</w:t>
      </w:r>
      <w:r>
        <w:rPr>
          <w:rFonts w:ascii="仿宋" w:eastAsia="仿宋" w:hAnsi="仿宋" w:cs="仿宋"/>
        </w:rPr>
        <w:t>。主要原因是因编制口径调整，原由其他功能科目安排的项目支出调由本功能科目安排</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自然资源事务（款）其他自然资源事务支出（项）支出</w:t>
      </w:r>
      <w:r>
        <w:rPr>
          <w:rFonts w:ascii="仿宋" w:eastAsia="仿宋" w:hAnsi="仿宋" w:cs="仿宋"/>
        </w:rPr>
        <w:t>3,226.89</w:t>
      </w:r>
      <w:r>
        <w:rPr>
          <w:rFonts w:ascii="仿宋" w:eastAsia="仿宋" w:hAnsi="仿宋" w:cs="仿宋"/>
        </w:rPr>
        <w:t>万元，与上年相比增加</w:t>
      </w:r>
      <w:r>
        <w:rPr>
          <w:rFonts w:ascii="仿宋" w:eastAsia="仿宋" w:hAnsi="仿宋" w:cs="仿宋"/>
        </w:rPr>
        <w:t>3,226.89</w:t>
      </w:r>
      <w:r>
        <w:rPr>
          <w:rFonts w:ascii="仿宋" w:eastAsia="仿宋" w:hAnsi="仿宋" w:cs="仿宋"/>
        </w:rPr>
        <w:t>万元（去年预算数为</w:t>
      </w:r>
      <w:r>
        <w:rPr>
          <w:rFonts w:ascii="仿宋" w:eastAsia="仿宋" w:hAnsi="仿宋" w:cs="仿宋"/>
        </w:rPr>
        <w:t>0</w:t>
      </w:r>
      <w:r>
        <w:rPr>
          <w:rFonts w:ascii="仿宋" w:eastAsia="仿宋" w:hAnsi="仿宋" w:cs="仿宋"/>
        </w:rPr>
        <w:t>万元，无法计算增减比率）。主要原因是因编制口径调整，原由其他功能科目安排的项目支出调由本功能科目安排</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（六）住房保障支出（类）</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1.</w:t>
      </w:r>
      <w:r>
        <w:rPr>
          <w:rFonts w:ascii="仿宋" w:eastAsia="仿宋" w:hAnsi="仿宋" w:cs="仿宋"/>
        </w:rPr>
        <w:t>住房改革支出（款）住房公积金（项）支出</w:t>
      </w:r>
      <w:r>
        <w:rPr>
          <w:rFonts w:ascii="仿宋" w:eastAsia="仿宋" w:hAnsi="仿宋" w:cs="仿宋"/>
        </w:rPr>
        <w:t>224.15</w:t>
      </w:r>
      <w:r>
        <w:rPr>
          <w:rFonts w:ascii="仿宋" w:eastAsia="仿宋" w:hAnsi="仿宋" w:cs="仿宋"/>
        </w:rPr>
        <w:t>万元，与上年相比减少</w:t>
      </w:r>
      <w:r>
        <w:rPr>
          <w:rFonts w:ascii="仿宋" w:eastAsia="仿宋" w:hAnsi="仿宋" w:cs="仿宋"/>
        </w:rPr>
        <w:t>89.8</w:t>
      </w:r>
      <w:r>
        <w:rPr>
          <w:rFonts w:ascii="仿宋" w:eastAsia="仿宋" w:hAnsi="仿宋" w:cs="仿宋"/>
        </w:rPr>
        <w:t>万元，减少</w:t>
      </w:r>
      <w:r>
        <w:rPr>
          <w:rFonts w:ascii="仿宋" w:eastAsia="仿宋" w:hAnsi="仿宋" w:cs="仿宋"/>
        </w:rPr>
        <w:t>28.6%</w:t>
      </w:r>
      <w:r>
        <w:rPr>
          <w:rFonts w:ascii="仿宋" w:eastAsia="仿宋" w:hAnsi="仿宋" w:cs="仿宋"/>
        </w:rPr>
        <w:t>。主要原因是住房公积金缴费基数调整。</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住房改革支出（款）提租补贴（项）支出</w:t>
      </w:r>
      <w:r>
        <w:rPr>
          <w:rFonts w:ascii="仿宋" w:eastAsia="仿宋" w:hAnsi="仿宋" w:cs="仿宋"/>
        </w:rPr>
        <w:t>286.58</w:t>
      </w:r>
      <w:r>
        <w:rPr>
          <w:rFonts w:ascii="仿宋" w:eastAsia="仿宋" w:hAnsi="仿宋" w:cs="仿宋"/>
        </w:rPr>
        <w:t>万元，与上年相比减少</w:t>
      </w:r>
      <w:r>
        <w:rPr>
          <w:rFonts w:ascii="仿宋" w:eastAsia="仿宋" w:hAnsi="仿宋" w:cs="仿宋"/>
        </w:rPr>
        <w:t>87.74</w:t>
      </w:r>
      <w:r>
        <w:rPr>
          <w:rFonts w:ascii="仿宋" w:eastAsia="仿宋" w:hAnsi="仿宋" w:cs="仿宋"/>
        </w:rPr>
        <w:t>万元，减少</w:t>
      </w:r>
      <w:r>
        <w:rPr>
          <w:rFonts w:ascii="仿宋" w:eastAsia="仿宋" w:hAnsi="仿宋" w:cs="仿宋"/>
        </w:rPr>
        <w:t>23.44%</w:t>
      </w:r>
      <w:r>
        <w:rPr>
          <w:rFonts w:ascii="仿宋" w:eastAsia="仿宋" w:hAnsi="仿宋" w:cs="仿宋"/>
        </w:rPr>
        <w:t>。主要原因是提租补贴缴费基数调整。</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3.</w:t>
      </w:r>
      <w:r>
        <w:rPr>
          <w:rFonts w:ascii="仿宋" w:eastAsia="仿宋" w:hAnsi="仿宋" w:cs="仿宋"/>
        </w:rPr>
        <w:t>住房改革支出（款）购房补贴（项）支出</w:t>
      </w:r>
      <w:r>
        <w:rPr>
          <w:rFonts w:ascii="仿宋" w:eastAsia="仿宋" w:hAnsi="仿宋" w:cs="仿宋"/>
        </w:rPr>
        <w:t>199.03</w:t>
      </w:r>
      <w:r>
        <w:rPr>
          <w:rFonts w:ascii="仿宋" w:eastAsia="仿宋" w:hAnsi="仿宋" w:cs="仿宋"/>
        </w:rPr>
        <w:t>万元，与上年相比减少</w:t>
      </w:r>
      <w:r>
        <w:rPr>
          <w:rFonts w:ascii="仿宋" w:eastAsia="仿宋" w:hAnsi="仿宋" w:cs="仿宋"/>
        </w:rPr>
        <w:t>106.86</w:t>
      </w:r>
      <w:r>
        <w:rPr>
          <w:rFonts w:ascii="仿宋" w:eastAsia="仿宋" w:hAnsi="仿宋" w:cs="仿宋"/>
        </w:rPr>
        <w:t>万元，减少</w:t>
      </w:r>
      <w:r>
        <w:rPr>
          <w:rFonts w:ascii="仿宋" w:eastAsia="仿宋" w:hAnsi="仿宋" w:cs="仿宋"/>
        </w:rPr>
        <w:t>34.93%</w:t>
      </w:r>
      <w:r>
        <w:rPr>
          <w:rFonts w:ascii="仿宋" w:eastAsia="仿宋" w:hAnsi="仿宋" w:cs="仿宋"/>
        </w:rPr>
        <w:t>。主要原因是购房补贴缴费基数调整。</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六、财政拨款基本支出预算情况说明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年度财政拨款基本支出预算</w:t>
      </w:r>
      <w:r>
        <w:rPr>
          <w:rFonts w:ascii="仿宋" w:eastAsia="仿宋" w:hAnsi="仿宋" w:cs="仿宋"/>
        </w:rPr>
        <w:t>3,175.77</w:t>
      </w:r>
      <w:r>
        <w:rPr>
          <w:rFonts w:ascii="仿宋" w:eastAsia="仿宋" w:hAnsi="仿宋" w:cs="仿宋"/>
        </w:rPr>
        <w:t>万元，其中：</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（一）人员经费</w:t>
      </w:r>
      <w:r>
        <w:rPr>
          <w:rFonts w:ascii="仿宋" w:eastAsia="仿宋" w:hAnsi="仿宋" w:cs="仿宋"/>
        </w:rPr>
        <w:t>2,993.46</w:t>
      </w:r>
      <w:r>
        <w:rPr>
          <w:rFonts w:ascii="仿宋" w:eastAsia="仿宋" w:hAnsi="仿宋" w:cs="仿宋"/>
        </w:rPr>
        <w:t>万元。主要包括：基本工资、津贴补贴、奖金、机关事业单位基本养老保险缴费、职</w:t>
      </w:r>
      <w:r>
        <w:rPr>
          <w:rFonts w:ascii="仿宋" w:eastAsia="仿宋" w:hAnsi="仿宋" w:cs="仿宋"/>
        </w:rPr>
        <w:t>业年金缴费、职工基本医疗保险缴费、其他社会保障缴费、住房公积金、医疗费、其他工资福利支出、退休费。</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（二）公用经费</w:t>
      </w:r>
      <w:r>
        <w:rPr>
          <w:rFonts w:ascii="仿宋" w:eastAsia="仿宋" w:hAnsi="仿宋" w:cs="仿宋"/>
        </w:rPr>
        <w:t>182.31</w:t>
      </w:r>
      <w:r>
        <w:rPr>
          <w:rFonts w:ascii="仿宋" w:eastAsia="仿宋" w:hAnsi="仿宋" w:cs="仿宋"/>
        </w:rPr>
        <w:t>万元。主要包括：办公费、会议费、培训费、公务接待费、工会经费、福利费、其他交通费用、其他商品和服务支出。</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七、一般公共预算支出预算情况说明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年一般公共预算财政拨款支出预算</w:t>
      </w:r>
      <w:r>
        <w:rPr>
          <w:rFonts w:ascii="仿宋" w:eastAsia="仿宋" w:hAnsi="仿宋" w:cs="仿宋"/>
        </w:rPr>
        <w:t>12,110.47</w:t>
      </w:r>
      <w:r>
        <w:rPr>
          <w:rFonts w:ascii="仿宋" w:eastAsia="仿宋" w:hAnsi="仿宋" w:cs="仿宋"/>
        </w:rPr>
        <w:t>万元，与上年相比增加</w:t>
      </w:r>
      <w:r>
        <w:rPr>
          <w:rFonts w:ascii="仿宋" w:eastAsia="仿宋" w:hAnsi="仿宋" w:cs="仿宋"/>
        </w:rPr>
        <w:t>6,547.57</w:t>
      </w:r>
      <w:r>
        <w:rPr>
          <w:rFonts w:ascii="仿宋" w:eastAsia="仿宋" w:hAnsi="仿宋" w:cs="仿宋"/>
        </w:rPr>
        <w:t>万元，增长</w:t>
      </w:r>
      <w:r>
        <w:rPr>
          <w:rFonts w:ascii="仿宋" w:eastAsia="仿宋" w:hAnsi="仿宋" w:cs="仿宋"/>
        </w:rPr>
        <w:t>117.7%</w:t>
      </w:r>
      <w:r>
        <w:rPr>
          <w:rFonts w:ascii="仿宋" w:eastAsia="仿宋" w:hAnsi="仿宋" w:cs="仿宋"/>
        </w:rPr>
        <w:t>。主要原因是编制口径调整，原有政府性基金预算收入安</w:t>
      </w:r>
      <w:r>
        <w:rPr>
          <w:rFonts w:ascii="仿宋" w:eastAsia="仿宋" w:hAnsi="仿宋" w:cs="仿宋"/>
        </w:rPr>
        <w:lastRenderedPageBreak/>
        <w:t>排的工作性项目调整为由一般公共预算拨款收入安排。</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八</w:t>
      </w:r>
      <w:r>
        <w:rPr>
          <w:rFonts w:ascii="仿宋" w:eastAsia="仿宋" w:hAnsi="仿宋" w:cs="仿宋"/>
          <w:b/>
        </w:rPr>
        <w:t>、一般公共预算基本支出预算情况说明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年度一般公共预算财政拨款基本支出预算</w:t>
      </w:r>
      <w:r>
        <w:rPr>
          <w:rFonts w:ascii="仿宋" w:eastAsia="仿宋" w:hAnsi="仿宋" w:cs="仿宋"/>
        </w:rPr>
        <w:t>3,175.77</w:t>
      </w:r>
      <w:r>
        <w:rPr>
          <w:rFonts w:ascii="仿宋" w:eastAsia="仿宋" w:hAnsi="仿宋" w:cs="仿宋"/>
        </w:rPr>
        <w:t>万元，其中：</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（一）人员经费</w:t>
      </w:r>
      <w:r>
        <w:rPr>
          <w:rFonts w:ascii="仿宋" w:eastAsia="仿宋" w:hAnsi="仿宋" w:cs="仿宋"/>
        </w:rPr>
        <w:t>2,993.46</w:t>
      </w:r>
      <w:r>
        <w:rPr>
          <w:rFonts w:ascii="仿宋" w:eastAsia="仿宋" w:hAnsi="仿宋" w:cs="仿宋"/>
        </w:rPr>
        <w:t>万元。主要包括：基本工资、津贴补贴、奖金、机关事业单位基本养老保险缴费、职业年金缴费、职工基本医疗保险缴费、其他社会保障缴费、住房公积金、医疗费、其他工资福利支出、退休费。</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（二）公用经费</w:t>
      </w:r>
      <w:r>
        <w:rPr>
          <w:rFonts w:ascii="仿宋" w:eastAsia="仿宋" w:hAnsi="仿宋" w:cs="仿宋"/>
        </w:rPr>
        <w:t>182.31</w:t>
      </w:r>
      <w:r>
        <w:rPr>
          <w:rFonts w:ascii="仿宋" w:eastAsia="仿宋" w:hAnsi="仿宋" w:cs="仿宋"/>
        </w:rPr>
        <w:t>万元。主要包括：办公费、会议费、培训费、公务接待费、工会经费、福利费、其他交通费用、其他商品和服务支出。</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九、一般公共预算</w:t>
      </w:r>
      <w:r>
        <w:rPr>
          <w:rFonts w:ascii="仿宋" w:eastAsia="仿宋" w:hAnsi="仿宋" w:cs="仿宋"/>
          <w:b/>
        </w:rPr>
        <w:t>“</w:t>
      </w:r>
      <w:r>
        <w:rPr>
          <w:rFonts w:ascii="仿宋" w:eastAsia="仿宋" w:hAnsi="仿宋" w:cs="仿宋"/>
          <w:b/>
        </w:rPr>
        <w:t>三公</w:t>
      </w:r>
      <w:r>
        <w:rPr>
          <w:rFonts w:ascii="仿宋" w:eastAsia="仿宋" w:hAnsi="仿宋" w:cs="仿宋"/>
          <w:b/>
        </w:rPr>
        <w:t>”</w:t>
      </w:r>
      <w:r>
        <w:rPr>
          <w:rFonts w:ascii="仿宋" w:eastAsia="仿宋" w:hAnsi="仿宋" w:cs="仿宋"/>
          <w:b/>
        </w:rPr>
        <w:t>经费、会议费</w:t>
      </w:r>
      <w:r>
        <w:rPr>
          <w:rFonts w:ascii="仿宋" w:eastAsia="仿宋" w:hAnsi="仿宋" w:cs="仿宋"/>
          <w:b/>
        </w:rPr>
        <w:t>、培训费支出预算情况说明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年度一般公共预算拨款安排的</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经费预算支出中，因公出国（境）费支出</w:t>
      </w:r>
      <w:r>
        <w:rPr>
          <w:rFonts w:ascii="仿宋" w:eastAsia="仿宋" w:hAnsi="仿宋" w:cs="仿宋"/>
        </w:rPr>
        <w:t>0</w:t>
      </w:r>
      <w:r>
        <w:rPr>
          <w:rFonts w:ascii="仿宋" w:eastAsia="仿宋" w:hAnsi="仿宋" w:cs="仿宋"/>
        </w:rPr>
        <w:t>万元，占</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经费的</w:t>
      </w:r>
      <w:r>
        <w:rPr>
          <w:rFonts w:ascii="仿宋" w:eastAsia="仿宋" w:hAnsi="仿宋" w:cs="仿宋"/>
        </w:rPr>
        <w:t>0%</w:t>
      </w:r>
      <w:r>
        <w:rPr>
          <w:rFonts w:ascii="仿宋" w:eastAsia="仿宋" w:hAnsi="仿宋" w:cs="仿宋"/>
        </w:rPr>
        <w:t>；公务用车购置及运行维护费支出</w:t>
      </w:r>
      <w:r>
        <w:rPr>
          <w:rFonts w:ascii="仿宋" w:eastAsia="仿宋" w:hAnsi="仿宋" w:cs="仿宋"/>
        </w:rPr>
        <w:t>0</w:t>
      </w:r>
      <w:r>
        <w:rPr>
          <w:rFonts w:ascii="仿宋" w:eastAsia="仿宋" w:hAnsi="仿宋" w:cs="仿宋"/>
        </w:rPr>
        <w:t>万元，占</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经费的</w:t>
      </w:r>
      <w:r>
        <w:rPr>
          <w:rFonts w:ascii="仿宋" w:eastAsia="仿宋" w:hAnsi="仿宋" w:cs="仿宋"/>
        </w:rPr>
        <w:t>0%</w:t>
      </w:r>
      <w:r>
        <w:rPr>
          <w:rFonts w:ascii="仿宋" w:eastAsia="仿宋" w:hAnsi="仿宋" w:cs="仿宋"/>
        </w:rPr>
        <w:t>；公务接待费支出</w:t>
      </w:r>
      <w:r>
        <w:rPr>
          <w:rFonts w:ascii="仿宋" w:eastAsia="仿宋" w:hAnsi="仿宋" w:cs="仿宋"/>
        </w:rPr>
        <w:t>1.73</w:t>
      </w:r>
      <w:r>
        <w:rPr>
          <w:rFonts w:ascii="仿宋" w:eastAsia="仿宋" w:hAnsi="仿宋" w:cs="仿宋"/>
        </w:rPr>
        <w:t>万元，占</w:t>
      </w:r>
      <w:r>
        <w:rPr>
          <w:rFonts w:ascii="仿宋" w:eastAsia="仿宋" w:hAnsi="仿宋" w:cs="仿宋"/>
        </w:rPr>
        <w:t>“</w:t>
      </w:r>
      <w:r>
        <w:rPr>
          <w:rFonts w:ascii="仿宋" w:eastAsia="仿宋" w:hAnsi="仿宋" w:cs="仿宋"/>
        </w:rPr>
        <w:t>三公</w:t>
      </w:r>
      <w:r>
        <w:rPr>
          <w:rFonts w:ascii="仿宋" w:eastAsia="仿宋" w:hAnsi="仿宋" w:cs="仿宋"/>
        </w:rPr>
        <w:t>”</w:t>
      </w:r>
      <w:r>
        <w:rPr>
          <w:rFonts w:ascii="仿宋" w:eastAsia="仿宋" w:hAnsi="仿宋" w:cs="仿宋"/>
        </w:rPr>
        <w:t>经费的</w:t>
      </w:r>
      <w:r>
        <w:rPr>
          <w:rFonts w:ascii="仿宋" w:eastAsia="仿宋" w:hAnsi="仿宋" w:cs="仿宋"/>
        </w:rPr>
        <w:t>100%</w:t>
      </w:r>
      <w:r>
        <w:rPr>
          <w:rFonts w:ascii="仿宋" w:eastAsia="仿宋" w:hAnsi="仿宋" w:cs="仿宋"/>
        </w:rPr>
        <w:t>。具体情况如下：</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．因公出国（境）费预算支出</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．公务用车购置及运行维护费预算支出</w:t>
      </w:r>
      <w:r>
        <w:rPr>
          <w:rFonts w:ascii="仿宋" w:eastAsia="仿宋" w:hAnsi="仿宋" w:cs="仿宋"/>
        </w:rPr>
        <w:t>0</w:t>
      </w:r>
      <w:r>
        <w:rPr>
          <w:rFonts w:ascii="仿宋" w:eastAsia="仿宋" w:hAnsi="仿宋" w:cs="仿宋"/>
        </w:rPr>
        <w:t>万元。其中：</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1</w:t>
      </w:r>
      <w:r>
        <w:rPr>
          <w:rFonts w:ascii="仿宋" w:eastAsia="仿宋" w:hAnsi="仿宋" w:cs="仿宋"/>
        </w:rPr>
        <w:t>）公务用车购置预算支出</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w:t>
      </w:r>
      <w:r>
        <w:rPr>
          <w:rFonts w:ascii="仿宋" w:eastAsia="仿宋" w:hAnsi="仿宋" w:cs="仿宋"/>
        </w:rPr>
        <w:t>2</w:t>
      </w:r>
      <w:r>
        <w:rPr>
          <w:rFonts w:ascii="仿宋" w:eastAsia="仿宋" w:hAnsi="仿宋" w:cs="仿宋"/>
        </w:rPr>
        <w:t>）公务用车运行维护费预算支出</w:t>
      </w:r>
      <w:r>
        <w:rPr>
          <w:rFonts w:ascii="仿宋" w:eastAsia="仿宋" w:hAnsi="仿宋" w:cs="仿宋"/>
        </w:rPr>
        <w:t>0</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lastRenderedPageBreak/>
        <w:t>3</w:t>
      </w:r>
      <w:r>
        <w:rPr>
          <w:rFonts w:ascii="仿宋" w:eastAsia="仿宋" w:hAnsi="仿宋" w:cs="仿宋"/>
        </w:rPr>
        <w:t>．公务接待费预算支出</w:t>
      </w:r>
      <w:r>
        <w:rPr>
          <w:rFonts w:ascii="仿宋" w:eastAsia="仿宋" w:hAnsi="仿宋" w:cs="仿宋"/>
        </w:rPr>
        <w:t>1.73</w:t>
      </w:r>
      <w:r>
        <w:rPr>
          <w:rFonts w:ascii="仿宋" w:eastAsia="仿宋" w:hAnsi="仿宋" w:cs="仿宋"/>
        </w:rPr>
        <w:t>万元，与上年预算数相同。</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年度一般公共预算拨款安排的会议费预算支出</w:t>
      </w:r>
      <w:r>
        <w:rPr>
          <w:rFonts w:ascii="仿宋" w:eastAsia="仿宋" w:hAnsi="仿宋" w:cs="仿宋"/>
        </w:rPr>
        <w:t>0.35</w:t>
      </w:r>
      <w:r>
        <w:rPr>
          <w:rFonts w:ascii="仿宋" w:eastAsia="仿宋" w:hAnsi="仿宋" w:cs="仿宋"/>
        </w:rPr>
        <w:t>万元，比上年预算减少</w:t>
      </w:r>
      <w:r>
        <w:rPr>
          <w:rFonts w:ascii="仿宋" w:eastAsia="仿宋" w:hAnsi="仿宋" w:cs="仿宋"/>
        </w:rPr>
        <w:t>0.15</w:t>
      </w:r>
      <w:r>
        <w:rPr>
          <w:rFonts w:ascii="仿宋" w:eastAsia="仿宋" w:hAnsi="仿宋" w:cs="仿宋"/>
        </w:rPr>
        <w:t>万元，主要原因是厉行节约。</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年度一般公共预算拨款安排的培训费预算支出</w:t>
      </w:r>
      <w:r>
        <w:rPr>
          <w:rFonts w:ascii="仿宋" w:eastAsia="仿宋" w:hAnsi="仿宋" w:cs="仿宋"/>
        </w:rPr>
        <w:t>1.4</w:t>
      </w:r>
      <w:r>
        <w:rPr>
          <w:rFonts w:ascii="仿宋" w:eastAsia="仿宋" w:hAnsi="仿宋" w:cs="仿宋"/>
        </w:rPr>
        <w:t>万元，比上年预算减少</w:t>
      </w:r>
      <w:r>
        <w:rPr>
          <w:rFonts w:ascii="仿宋" w:eastAsia="仿宋" w:hAnsi="仿宋" w:cs="仿宋"/>
        </w:rPr>
        <w:t>0.6</w:t>
      </w:r>
      <w:r>
        <w:rPr>
          <w:rFonts w:ascii="仿宋" w:eastAsia="仿宋" w:hAnsi="仿宋" w:cs="仿宋"/>
        </w:rPr>
        <w:t>万元，主要原因是厉行节约。</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十、政府性基金预算支出预算情况说明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年政府性基金支出预算支出</w:t>
      </w:r>
      <w:r>
        <w:rPr>
          <w:rFonts w:ascii="仿宋" w:eastAsia="仿宋" w:hAnsi="仿宋" w:cs="仿宋"/>
        </w:rPr>
        <w:t>5,000</w:t>
      </w:r>
      <w:r>
        <w:rPr>
          <w:rFonts w:ascii="仿宋" w:eastAsia="仿宋" w:hAnsi="仿宋" w:cs="仿宋"/>
        </w:rPr>
        <w:t>万元。与上年相比减少</w:t>
      </w:r>
      <w:r>
        <w:rPr>
          <w:rFonts w:ascii="仿宋" w:eastAsia="仿宋" w:hAnsi="仿宋" w:cs="仿宋"/>
        </w:rPr>
        <w:t>10,325.15</w:t>
      </w:r>
      <w:r>
        <w:rPr>
          <w:rFonts w:ascii="仿宋" w:eastAsia="仿宋" w:hAnsi="仿宋" w:cs="仿宋"/>
        </w:rPr>
        <w:t>万元，减少</w:t>
      </w:r>
      <w:r>
        <w:rPr>
          <w:rFonts w:ascii="仿宋" w:eastAsia="仿宋" w:hAnsi="仿宋" w:cs="仿宋"/>
        </w:rPr>
        <w:t>67.37%</w:t>
      </w:r>
      <w:r>
        <w:rPr>
          <w:rFonts w:ascii="仿宋" w:eastAsia="仿宋" w:hAnsi="仿宋" w:cs="仿宋"/>
        </w:rPr>
        <w:t>。主要</w:t>
      </w:r>
      <w:r>
        <w:rPr>
          <w:rFonts w:ascii="仿宋" w:eastAsia="仿宋" w:hAnsi="仿宋" w:cs="仿宋"/>
        </w:rPr>
        <w:t>原因是编制口径调整：</w:t>
      </w:r>
      <w:r>
        <w:rPr>
          <w:rFonts w:ascii="仿宋" w:eastAsia="仿宋" w:hAnsi="仿宋" w:cs="仿宋"/>
        </w:rPr>
        <w:t>1</w:t>
      </w:r>
      <w:r>
        <w:rPr>
          <w:rFonts w:ascii="仿宋" w:eastAsia="仿宋" w:hAnsi="仿宋" w:cs="仿宋"/>
        </w:rPr>
        <w:t>、原有政府性基金预算收入安排的工作性项目调整为由一般公共预算拨款收入安排；</w:t>
      </w:r>
      <w:r>
        <w:rPr>
          <w:rFonts w:ascii="仿宋" w:eastAsia="仿宋" w:hAnsi="仿宋" w:cs="仿宋"/>
        </w:rPr>
        <w:t>2</w:t>
      </w:r>
      <w:r>
        <w:rPr>
          <w:rFonts w:ascii="仿宋" w:eastAsia="仿宋" w:hAnsi="仿宋" w:cs="仿宋"/>
        </w:rPr>
        <w:t>、规划类项目实行</w:t>
      </w:r>
      <w:r>
        <w:rPr>
          <w:rFonts w:ascii="仿宋" w:eastAsia="仿宋" w:hAnsi="仿宋" w:cs="仿宋"/>
        </w:rPr>
        <w:t>“</w:t>
      </w:r>
      <w:r>
        <w:rPr>
          <w:rFonts w:ascii="仿宋" w:eastAsia="仿宋" w:hAnsi="仿宋" w:cs="仿宋"/>
        </w:rPr>
        <w:t>零基预算</w:t>
      </w:r>
      <w:r>
        <w:rPr>
          <w:rFonts w:ascii="仿宋" w:eastAsia="仿宋" w:hAnsi="仿宋" w:cs="仿宋"/>
        </w:rPr>
        <w:t>”</w:t>
      </w:r>
      <w:r>
        <w:rPr>
          <w:rFonts w:ascii="仿宋" w:eastAsia="仿宋" w:hAnsi="仿宋" w:cs="仿宋"/>
        </w:rPr>
        <w:t>。</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其中：</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1.</w:t>
      </w:r>
      <w:r>
        <w:rPr>
          <w:rFonts w:ascii="仿宋" w:eastAsia="仿宋" w:hAnsi="仿宋" w:cs="仿宋"/>
        </w:rPr>
        <w:t>城乡社区支出（类）国有土地使用权出让收入安排的支出（款）农业生产发展支出（项）支出</w:t>
      </w:r>
      <w:r>
        <w:rPr>
          <w:rFonts w:ascii="仿宋" w:eastAsia="仿宋" w:hAnsi="仿宋" w:cs="仿宋"/>
        </w:rPr>
        <w:t>3,500</w:t>
      </w:r>
      <w:r>
        <w:rPr>
          <w:rFonts w:ascii="仿宋" w:eastAsia="仿宋" w:hAnsi="仿宋" w:cs="仿宋"/>
        </w:rPr>
        <w:t>万元，主要是用于乡村振兴项目支出。</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w:t>
      </w:r>
      <w:r>
        <w:rPr>
          <w:rFonts w:ascii="仿宋" w:eastAsia="仿宋" w:hAnsi="仿宋" w:cs="仿宋"/>
        </w:rPr>
        <w:t>城乡社区支出（类）国有土地使用权出让收入安排的支出（款）农业农村生态环境支出（项）支出</w:t>
      </w:r>
      <w:r>
        <w:rPr>
          <w:rFonts w:ascii="仿宋" w:eastAsia="仿宋" w:hAnsi="仿宋" w:cs="仿宋"/>
        </w:rPr>
        <w:t>1,500</w:t>
      </w:r>
      <w:r>
        <w:rPr>
          <w:rFonts w:ascii="仿宋" w:eastAsia="仿宋" w:hAnsi="仿宋" w:cs="仿宋"/>
        </w:rPr>
        <w:t>万元，主要是用于乡村振兴项目支出。</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十一、国有资本经营预算支出预算情况说明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无锡市自然资源和规划局（本级）</w:t>
      </w:r>
      <w:r>
        <w:rPr>
          <w:rFonts w:ascii="仿宋" w:eastAsia="仿宋" w:hAnsi="仿宋" w:cs="仿宋"/>
        </w:rPr>
        <w:t>2023</w:t>
      </w:r>
      <w:r>
        <w:rPr>
          <w:rFonts w:ascii="仿宋" w:eastAsia="仿宋" w:hAnsi="仿宋" w:cs="仿宋"/>
        </w:rPr>
        <w:t>年国有资本经营预算支出</w:t>
      </w:r>
      <w:r>
        <w:rPr>
          <w:rFonts w:ascii="仿宋" w:eastAsia="仿宋" w:hAnsi="仿宋" w:cs="仿宋"/>
        </w:rPr>
        <w:t>0</w:t>
      </w:r>
      <w:r>
        <w:rPr>
          <w:rFonts w:ascii="仿宋" w:eastAsia="仿宋" w:hAnsi="仿宋" w:cs="仿宋"/>
        </w:rPr>
        <w:t>万元</w:t>
      </w:r>
      <w:r>
        <w:rPr>
          <w:rFonts w:ascii="仿宋" w:eastAsia="仿宋" w:hAnsi="仿宋" w:cs="仿宋"/>
        </w:rPr>
        <w:t>。与上年预算数相同。</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lastRenderedPageBreak/>
        <w:t>十二、一般公共预算机关运行经费支出预算情况说明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年本单位一般公共预算机关运行经费预算支出</w:t>
      </w:r>
      <w:r>
        <w:rPr>
          <w:rFonts w:ascii="仿宋" w:eastAsia="仿宋" w:hAnsi="仿宋" w:cs="仿宋"/>
        </w:rPr>
        <w:t>182.31</w:t>
      </w:r>
      <w:r>
        <w:rPr>
          <w:rFonts w:ascii="仿宋" w:eastAsia="仿宋" w:hAnsi="仿宋" w:cs="仿宋"/>
        </w:rPr>
        <w:t>万元。与上年相比减少</w:t>
      </w:r>
      <w:r>
        <w:rPr>
          <w:rFonts w:ascii="仿宋" w:eastAsia="仿宋" w:hAnsi="仿宋" w:cs="仿宋"/>
        </w:rPr>
        <w:t>273.97</w:t>
      </w:r>
      <w:r>
        <w:rPr>
          <w:rFonts w:ascii="仿宋" w:eastAsia="仿宋" w:hAnsi="仿宋" w:cs="仿宋"/>
        </w:rPr>
        <w:t>万元，减少</w:t>
      </w:r>
      <w:r>
        <w:rPr>
          <w:rFonts w:ascii="仿宋" w:eastAsia="仿宋" w:hAnsi="仿宋" w:cs="仿宋"/>
        </w:rPr>
        <w:t>60.04%</w:t>
      </w:r>
      <w:r>
        <w:rPr>
          <w:rFonts w:ascii="仿宋" w:eastAsia="仿宋" w:hAnsi="仿宋" w:cs="仿宋"/>
        </w:rPr>
        <w:t>。主要原因是减少了维修费及物业费。</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十三、政府采购支出预算情况说明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年度政府采购支出预算总额</w:t>
      </w:r>
      <w:r>
        <w:rPr>
          <w:rFonts w:ascii="仿宋" w:eastAsia="仿宋" w:hAnsi="仿宋" w:cs="仿宋"/>
        </w:rPr>
        <w:t>1,321.87</w:t>
      </w:r>
      <w:r>
        <w:rPr>
          <w:rFonts w:ascii="仿宋" w:eastAsia="仿宋" w:hAnsi="仿宋" w:cs="仿宋"/>
        </w:rPr>
        <w:t>万元，其中：拟采购货物支出</w:t>
      </w:r>
      <w:r>
        <w:rPr>
          <w:rFonts w:ascii="仿宋" w:eastAsia="仿宋" w:hAnsi="仿宋" w:cs="仿宋"/>
        </w:rPr>
        <w:t>0</w:t>
      </w:r>
      <w:r>
        <w:rPr>
          <w:rFonts w:ascii="仿宋" w:eastAsia="仿宋" w:hAnsi="仿宋" w:cs="仿宋"/>
        </w:rPr>
        <w:t>万元、拟采购工程支出</w:t>
      </w:r>
      <w:r>
        <w:rPr>
          <w:rFonts w:ascii="仿宋" w:eastAsia="仿宋" w:hAnsi="仿宋" w:cs="仿宋"/>
        </w:rPr>
        <w:t>0</w:t>
      </w:r>
      <w:r>
        <w:rPr>
          <w:rFonts w:ascii="仿宋" w:eastAsia="仿宋" w:hAnsi="仿宋" w:cs="仿宋"/>
        </w:rPr>
        <w:t>万元、拟采购服务支出</w:t>
      </w:r>
      <w:r>
        <w:rPr>
          <w:rFonts w:ascii="仿宋" w:eastAsia="仿宋" w:hAnsi="仿宋" w:cs="仿宋"/>
        </w:rPr>
        <w:t>1,321.87</w:t>
      </w:r>
      <w:r>
        <w:rPr>
          <w:rFonts w:ascii="仿宋" w:eastAsia="仿宋" w:hAnsi="仿宋" w:cs="仿宋"/>
        </w:rPr>
        <w:t>万元。</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十四、国有资产占用情况说明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本单位共有车辆</w:t>
      </w:r>
      <w:r>
        <w:rPr>
          <w:rFonts w:ascii="仿宋" w:eastAsia="仿宋" w:hAnsi="仿宋" w:cs="仿宋"/>
        </w:rPr>
        <w:t>0</w:t>
      </w:r>
      <w:r>
        <w:rPr>
          <w:rFonts w:ascii="仿宋" w:eastAsia="仿宋" w:hAnsi="仿宋" w:cs="仿宋"/>
        </w:rPr>
        <w:t>辆，其中，副部（省）级及以上领导用车</w:t>
      </w:r>
      <w:r>
        <w:rPr>
          <w:rFonts w:ascii="仿宋" w:eastAsia="仿宋" w:hAnsi="仿宋" w:cs="仿宋"/>
        </w:rPr>
        <w:t>0</w:t>
      </w:r>
      <w:r>
        <w:rPr>
          <w:rFonts w:ascii="仿宋" w:eastAsia="仿宋" w:hAnsi="仿宋" w:cs="仿宋"/>
        </w:rPr>
        <w:t>辆、主要领导干部用车</w:t>
      </w:r>
      <w:r>
        <w:rPr>
          <w:rFonts w:ascii="仿宋" w:eastAsia="仿宋" w:hAnsi="仿宋" w:cs="仿宋"/>
        </w:rPr>
        <w:t>0</w:t>
      </w:r>
      <w:r>
        <w:rPr>
          <w:rFonts w:ascii="仿宋" w:eastAsia="仿宋" w:hAnsi="仿宋" w:cs="仿宋"/>
        </w:rPr>
        <w:t>辆、机要通信用</w:t>
      </w:r>
      <w:r>
        <w:rPr>
          <w:rFonts w:ascii="仿宋" w:eastAsia="仿宋" w:hAnsi="仿宋" w:cs="仿宋"/>
        </w:rPr>
        <w:t>车</w:t>
      </w:r>
      <w:r>
        <w:rPr>
          <w:rFonts w:ascii="仿宋" w:eastAsia="仿宋" w:hAnsi="仿宋" w:cs="仿宋"/>
        </w:rPr>
        <w:t>0</w:t>
      </w:r>
      <w:r>
        <w:rPr>
          <w:rFonts w:ascii="仿宋" w:eastAsia="仿宋" w:hAnsi="仿宋" w:cs="仿宋"/>
        </w:rPr>
        <w:t>辆、应急保障用车</w:t>
      </w:r>
      <w:r>
        <w:rPr>
          <w:rFonts w:ascii="仿宋" w:eastAsia="仿宋" w:hAnsi="仿宋" w:cs="仿宋"/>
        </w:rPr>
        <w:t>0</w:t>
      </w:r>
      <w:r>
        <w:rPr>
          <w:rFonts w:ascii="仿宋" w:eastAsia="仿宋" w:hAnsi="仿宋" w:cs="仿宋"/>
        </w:rPr>
        <w:t>辆、执法执勤用车</w:t>
      </w:r>
      <w:r>
        <w:rPr>
          <w:rFonts w:ascii="仿宋" w:eastAsia="仿宋" w:hAnsi="仿宋" w:cs="仿宋"/>
        </w:rPr>
        <w:t>0</w:t>
      </w:r>
      <w:r>
        <w:rPr>
          <w:rFonts w:ascii="仿宋" w:eastAsia="仿宋" w:hAnsi="仿宋" w:cs="仿宋"/>
        </w:rPr>
        <w:t>辆、特种专业技术用车</w:t>
      </w:r>
      <w:r>
        <w:rPr>
          <w:rFonts w:ascii="仿宋" w:eastAsia="仿宋" w:hAnsi="仿宋" w:cs="仿宋"/>
        </w:rPr>
        <w:t>0</w:t>
      </w:r>
      <w:r>
        <w:rPr>
          <w:rFonts w:ascii="仿宋" w:eastAsia="仿宋" w:hAnsi="仿宋" w:cs="仿宋"/>
        </w:rPr>
        <w:t>辆、离退休干部用车</w:t>
      </w:r>
      <w:r>
        <w:rPr>
          <w:rFonts w:ascii="仿宋" w:eastAsia="仿宋" w:hAnsi="仿宋" w:cs="仿宋"/>
        </w:rPr>
        <w:t>0</w:t>
      </w:r>
      <w:r>
        <w:rPr>
          <w:rFonts w:ascii="仿宋" w:eastAsia="仿宋" w:hAnsi="仿宋" w:cs="仿宋"/>
        </w:rPr>
        <w:t>辆，其他用车</w:t>
      </w:r>
      <w:r>
        <w:rPr>
          <w:rFonts w:ascii="仿宋" w:eastAsia="仿宋" w:hAnsi="仿宋" w:cs="仿宋"/>
        </w:rPr>
        <w:t>0</w:t>
      </w:r>
      <w:r>
        <w:rPr>
          <w:rFonts w:ascii="仿宋" w:eastAsia="仿宋" w:hAnsi="仿宋" w:cs="仿宋"/>
        </w:rPr>
        <w:t>辆；单价</w:t>
      </w:r>
      <w:r>
        <w:rPr>
          <w:rFonts w:ascii="仿宋" w:eastAsia="仿宋" w:hAnsi="仿宋" w:cs="仿宋"/>
        </w:rPr>
        <w:t>50</w:t>
      </w:r>
      <w:r>
        <w:rPr>
          <w:rFonts w:ascii="仿宋" w:eastAsia="仿宋" w:hAnsi="仿宋" w:cs="仿宋"/>
        </w:rPr>
        <w:t>万元（含）以上的通用设备</w:t>
      </w:r>
      <w:r>
        <w:rPr>
          <w:rFonts w:ascii="仿宋" w:eastAsia="仿宋" w:hAnsi="仿宋" w:cs="仿宋"/>
        </w:rPr>
        <w:t>8</w:t>
      </w:r>
      <w:r>
        <w:rPr>
          <w:rFonts w:ascii="仿宋" w:eastAsia="仿宋" w:hAnsi="仿宋" w:cs="仿宋"/>
        </w:rPr>
        <w:t>台（套），单价</w:t>
      </w:r>
      <w:r>
        <w:rPr>
          <w:rFonts w:ascii="仿宋" w:eastAsia="仿宋" w:hAnsi="仿宋" w:cs="仿宋"/>
        </w:rPr>
        <w:t>100</w:t>
      </w:r>
      <w:r>
        <w:rPr>
          <w:rFonts w:ascii="仿宋" w:eastAsia="仿宋" w:hAnsi="仿宋" w:cs="仿宋"/>
        </w:rPr>
        <w:t>万元（含）以上的专用设备</w:t>
      </w:r>
      <w:r>
        <w:rPr>
          <w:rFonts w:ascii="仿宋" w:eastAsia="仿宋" w:hAnsi="仿宋" w:cs="仿宋"/>
        </w:rPr>
        <w:t>0</w:t>
      </w:r>
      <w:r>
        <w:rPr>
          <w:rFonts w:ascii="仿宋" w:eastAsia="仿宋" w:hAnsi="仿宋" w:cs="仿宋"/>
        </w:rPr>
        <w:t>台（套）。</w:t>
      </w:r>
    </w:p>
    <w:p w:rsidR="006E5555" w:rsidRDefault="00744F51" w:rsidP="000F72D0">
      <w:pPr>
        <w:pStyle w:val="a4"/>
        <w:tabs>
          <w:tab w:val="left" w:pos="3864"/>
          <w:tab w:val="left" w:pos="6248"/>
          <w:tab w:val="left" w:pos="7386"/>
        </w:tabs>
        <w:overflowPunct w:val="0"/>
        <w:spacing w:before="1" w:line="360" w:lineRule="auto"/>
        <w:ind w:leftChars="200" w:left="440" w:right="420" w:firstLineChars="206" w:firstLine="662"/>
        <w:jc w:val="both"/>
        <w:rPr>
          <w:rFonts w:ascii="仿宋" w:eastAsia="仿宋" w:hAnsi="仿宋" w:cs="仿宋"/>
          <w:lang w:val="en-US"/>
        </w:rPr>
      </w:pPr>
      <w:r>
        <w:rPr>
          <w:rFonts w:ascii="仿宋" w:eastAsia="仿宋" w:hAnsi="仿宋" w:cs="仿宋"/>
          <w:b/>
        </w:rPr>
        <w:t>十五、预算绩效目标设置情况说明</w:t>
      </w:r>
    </w:p>
    <w:p w:rsidR="006E5555" w:rsidRDefault="00744F51">
      <w:pPr>
        <w:pStyle w:val="a4"/>
        <w:tabs>
          <w:tab w:val="left" w:pos="3864"/>
          <w:tab w:val="left" w:pos="6248"/>
          <w:tab w:val="left" w:pos="7386"/>
        </w:tabs>
        <w:overflowPunct w:val="0"/>
        <w:spacing w:before="1" w:line="360" w:lineRule="auto"/>
        <w:ind w:leftChars="200" w:left="440" w:right="420" w:firstLineChars="206" w:firstLine="659"/>
        <w:jc w:val="both"/>
        <w:rPr>
          <w:rFonts w:ascii="仿宋" w:eastAsia="仿宋" w:hAnsi="仿宋" w:cs="仿宋"/>
          <w:lang w:val="en-US"/>
        </w:rPr>
      </w:pPr>
      <w:r>
        <w:rPr>
          <w:rFonts w:ascii="仿宋" w:eastAsia="仿宋" w:hAnsi="仿宋" w:cs="仿宋"/>
        </w:rPr>
        <w:t>2023</w:t>
      </w:r>
      <w:r>
        <w:rPr>
          <w:rFonts w:ascii="仿宋" w:eastAsia="仿宋" w:hAnsi="仿宋" w:cs="仿宋"/>
        </w:rPr>
        <w:t>年度，本单位整体支出纳入绩效目标管理，涉及财政性资金</w:t>
      </w:r>
      <w:r>
        <w:rPr>
          <w:rFonts w:ascii="仿宋" w:eastAsia="仿宋" w:hAnsi="仿宋" w:cs="仿宋"/>
        </w:rPr>
        <w:t>17,110.47</w:t>
      </w:r>
      <w:r>
        <w:rPr>
          <w:rFonts w:ascii="仿宋" w:eastAsia="仿宋" w:hAnsi="仿宋" w:cs="仿宋"/>
        </w:rPr>
        <w:t>万元；本单位共</w:t>
      </w:r>
      <w:r>
        <w:rPr>
          <w:rFonts w:ascii="仿宋" w:eastAsia="仿宋" w:hAnsi="仿宋" w:cs="仿宋"/>
        </w:rPr>
        <w:t>29</w:t>
      </w:r>
      <w:r>
        <w:rPr>
          <w:rFonts w:ascii="仿宋" w:eastAsia="仿宋" w:hAnsi="仿宋" w:cs="仿宋"/>
        </w:rPr>
        <w:t>个项目纳入绩效目标管理，涉及财政性资金合计</w:t>
      </w:r>
      <w:r>
        <w:rPr>
          <w:rFonts w:ascii="仿宋" w:eastAsia="仿宋" w:hAnsi="仿宋" w:cs="仿宋"/>
        </w:rPr>
        <w:t>13,934.7</w:t>
      </w:r>
      <w:r>
        <w:rPr>
          <w:rFonts w:ascii="仿宋" w:eastAsia="仿宋" w:hAnsi="仿宋" w:cs="仿宋"/>
        </w:rPr>
        <w:t>万元，占财政性资金</w:t>
      </w:r>
      <w:r>
        <w:rPr>
          <w:rFonts w:ascii="仿宋" w:eastAsia="仿宋" w:hAnsi="仿宋" w:cs="仿宋"/>
        </w:rPr>
        <w:t>(</w:t>
      </w:r>
      <w:r>
        <w:rPr>
          <w:rFonts w:ascii="仿宋" w:eastAsia="仿宋" w:hAnsi="仿宋" w:cs="仿宋"/>
        </w:rPr>
        <w:t>基本支出除外</w:t>
      </w:r>
      <w:r>
        <w:rPr>
          <w:rFonts w:ascii="仿宋" w:eastAsia="仿宋" w:hAnsi="仿宋" w:cs="仿宋"/>
        </w:rPr>
        <w:t>)</w:t>
      </w:r>
      <w:r>
        <w:rPr>
          <w:rFonts w:ascii="仿宋" w:eastAsia="仿宋" w:hAnsi="仿宋" w:cs="仿宋"/>
        </w:rPr>
        <w:t>总额的比例为</w:t>
      </w:r>
      <w:r>
        <w:rPr>
          <w:rFonts w:ascii="仿宋" w:eastAsia="仿宋" w:hAnsi="仿宋" w:cs="仿宋"/>
        </w:rPr>
        <w:t>100%</w:t>
      </w:r>
      <w:r>
        <w:rPr>
          <w:rFonts w:ascii="仿宋" w:eastAsia="仿宋" w:hAnsi="仿宋" w:cs="仿宋"/>
        </w:rPr>
        <w:t>。</w:t>
      </w:r>
    </w:p>
    <w:p w:rsidR="006E5555" w:rsidRDefault="00744F51">
      <w:pPr>
        <w:pStyle w:val="a4"/>
        <w:tabs>
          <w:tab w:val="left" w:pos="3864"/>
          <w:tab w:val="left" w:pos="6248"/>
          <w:tab w:val="left" w:pos="7386"/>
        </w:tabs>
        <w:jc w:val="center"/>
        <w:rPr>
          <w:rFonts w:ascii="仿宋" w:eastAsia="仿宋" w:hAnsi="仿宋" w:cs="仿宋"/>
          <w:b/>
          <w:bCs/>
          <w:sz w:val="36"/>
          <w:szCs w:val="36"/>
        </w:rPr>
      </w:pPr>
      <w:r>
        <w:rPr>
          <w:rFonts w:ascii="仿宋" w:eastAsia="仿宋" w:hAnsi="仿宋" w:cs="仿宋" w:hint="eastAsia"/>
          <w:b/>
          <w:bCs/>
          <w:sz w:val="36"/>
          <w:szCs w:val="36"/>
        </w:rPr>
        <w:t>第四部分</w:t>
      </w:r>
      <w:r>
        <w:rPr>
          <w:rFonts w:ascii="仿宋" w:eastAsia="仿宋" w:hAnsi="仿宋" w:cs="仿宋" w:hint="eastAsia"/>
          <w:b/>
          <w:bCs/>
          <w:sz w:val="36"/>
          <w:szCs w:val="36"/>
        </w:rPr>
        <w:t xml:space="preserve"> </w:t>
      </w:r>
      <w:r>
        <w:rPr>
          <w:rFonts w:ascii="仿宋" w:eastAsia="仿宋" w:hAnsi="仿宋" w:cs="仿宋" w:hint="eastAsia"/>
          <w:b/>
          <w:bCs/>
          <w:sz w:val="36"/>
          <w:szCs w:val="36"/>
        </w:rPr>
        <w:t>名词解释</w:t>
      </w:r>
    </w:p>
    <w:p w:rsidR="006E5555" w:rsidRDefault="006E5555">
      <w:pPr>
        <w:pStyle w:val="a4"/>
        <w:tabs>
          <w:tab w:val="left" w:pos="3864"/>
          <w:tab w:val="left" w:pos="6248"/>
          <w:tab w:val="left" w:pos="7386"/>
        </w:tabs>
        <w:ind w:leftChars="200" w:left="440" w:firstLineChars="206" w:firstLine="659"/>
        <w:jc w:val="both"/>
        <w:rPr>
          <w:rFonts w:ascii="仿宋" w:eastAsia="仿宋" w:hAnsi="仿宋" w:cs="仿宋"/>
        </w:rPr>
      </w:pP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一、财政拨款</w:t>
      </w:r>
      <w:r>
        <w:rPr>
          <w:rFonts w:ascii="仿宋" w:eastAsia="仿宋" w:hAnsi="仿宋" w:cs="仿宋"/>
          <w:b/>
        </w:rPr>
        <w:t>：</w:t>
      </w:r>
      <w:r>
        <w:rPr>
          <w:rFonts w:ascii="仿宋" w:eastAsia="仿宋" w:hAnsi="仿宋" w:cs="仿宋" w:hint="eastAsia"/>
        </w:rPr>
        <w:t>单位从同级财政部门取得的各类财政拨款，包括一般公共预算拨款、政府性基金预算拨款、国有资本经营预算拨款。</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lastRenderedPageBreak/>
        <w:t>二、财政专户管理资金</w:t>
      </w:r>
      <w:r>
        <w:rPr>
          <w:rFonts w:ascii="仿宋" w:eastAsia="仿宋" w:hAnsi="仿宋" w:cs="仿宋"/>
          <w:b/>
        </w:rPr>
        <w:t>：</w:t>
      </w:r>
      <w:r>
        <w:rPr>
          <w:rFonts w:ascii="仿宋" w:eastAsia="仿宋" w:hAnsi="仿宋" w:cs="仿宋" w:hint="eastAsia"/>
        </w:rPr>
        <w:t>缴入财政专户、实行专项管理的高中以上学费、住宿费、高校委托培养费、函大、电大、夜大及短训班培训费等教育收费。</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三、单位资金</w:t>
      </w:r>
      <w:r>
        <w:rPr>
          <w:rFonts w:ascii="仿宋" w:eastAsia="仿宋" w:hAnsi="仿宋" w:cs="仿宋"/>
          <w:b/>
        </w:rPr>
        <w:t>：</w:t>
      </w:r>
      <w:r>
        <w:rPr>
          <w:rFonts w:ascii="仿宋" w:eastAsia="仿宋" w:hAnsi="仿宋" w:cs="仿宋" w:hint="eastAsia"/>
        </w:rPr>
        <w:t>除财政拨款收入和财政专户管理资金以外的收入，包括事业收入（不含教育收费）、上级补助收入、附属单位上缴收入、事业单位经营收入及其他收入（包含债务收入、投资收益等）。</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四、基本支出</w:t>
      </w:r>
      <w:r>
        <w:rPr>
          <w:rFonts w:ascii="仿宋" w:eastAsia="仿宋" w:hAnsi="仿宋" w:cs="仿宋"/>
          <w:b/>
        </w:rPr>
        <w:t>：</w:t>
      </w:r>
      <w:r>
        <w:rPr>
          <w:rFonts w:ascii="仿宋" w:eastAsia="仿宋" w:hAnsi="仿宋" w:cs="仿宋" w:hint="eastAsia"/>
        </w:rPr>
        <w:t>指为保障机构正常运转、完成工作任务而发生的人员支出和公用支出。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五、项目支出</w:t>
      </w:r>
      <w:r>
        <w:rPr>
          <w:rFonts w:ascii="仿宋" w:eastAsia="仿宋" w:hAnsi="仿宋" w:cs="仿宋"/>
          <w:b/>
        </w:rPr>
        <w:t>：</w:t>
      </w:r>
      <w:r>
        <w:rPr>
          <w:rFonts w:ascii="仿宋" w:eastAsia="仿宋" w:hAnsi="仿宋" w:cs="仿宋" w:hint="eastAsia"/>
        </w:rPr>
        <w:t>指在基</w:t>
      </w:r>
      <w:r>
        <w:rPr>
          <w:rFonts w:ascii="仿宋" w:eastAsia="仿宋" w:hAnsi="仿宋" w:cs="仿宋" w:hint="eastAsia"/>
        </w:rPr>
        <w:t>本支出之外为完成特定工作任务和事业发展目标所发生的支出。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六、“三公”经费</w:t>
      </w:r>
      <w:r>
        <w:rPr>
          <w:rFonts w:ascii="仿宋" w:eastAsia="仿宋" w:hAnsi="仿宋" w:cs="仿宋"/>
          <w:b/>
        </w:rPr>
        <w:t>：</w:t>
      </w:r>
      <w:r>
        <w:rPr>
          <w:rFonts w:ascii="仿宋" w:eastAsia="仿宋" w:hAnsi="仿宋" w:cs="仿宋" w:hint="eastAsia"/>
        </w:rPr>
        <w:t>指部门用一般公共预算财政拨款安排的因公出国（境）费、公务用车购置及运行维护费和公务接待费。其中，因公出国（境）费反映单位公务出国（境）的住宿费、旅费、伙食补助费、杂费、培训费等支出；公务用车购置及运行维护费反映单位公务用车购置费、燃料费、维修费、过路过桥费、保险费、安全奖励费用等支出；公务接待费反映单位按规定开支的各类公务接待（含外宾接待）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七、机关运行经费</w:t>
      </w:r>
      <w:r>
        <w:rPr>
          <w:rFonts w:ascii="仿宋" w:eastAsia="仿宋" w:hAnsi="仿宋" w:cs="仿宋"/>
          <w:b/>
        </w:rPr>
        <w:t>：</w:t>
      </w:r>
      <w:r>
        <w:rPr>
          <w:rFonts w:ascii="仿宋" w:eastAsia="仿宋" w:hAnsi="仿宋" w:cs="仿宋" w:hint="eastAsia"/>
        </w:rPr>
        <w:t>指行政单位（含参照公务员法管理的事业单位）使用一般公共预算安排的基本</w:t>
      </w:r>
      <w:r>
        <w:rPr>
          <w:rFonts w:ascii="仿宋" w:eastAsia="仿宋" w:hAnsi="仿宋" w:cs="仿宋" w:hint="eastAsia"/>
        </w:rPr>
        <w:t>支出中的日常公用经费支出，包括办公及印刷费、邮电费、差旅费、会议费、福利费、日常维修费、专用材料及一般设备购置费、办公用房水电费、办公用房取暖费、办公用房物业管理费、公务用车运行维护费及其他费用等。</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lastRenderedPageBreak/>
        <w:t>八、社会保障和就业支出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行政事业单位养老支出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机关事业单位基本养老保险缴费支出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反映机关事业单位实施养老保险制度由单位缴纳的基本养老保险费支出。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九、社会保障和就业支出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行政事业单位养老支出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机关事业单位职业年金缴费支出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反映机关事业单位实施养老保险制度由单位实际缴纳的职业年金支出。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十、卫生健康支出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行政事业单位医疗</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行政单位医疗</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反映财政部门安排的行政单位（包括实行公务员管理的事业单位，下同）基本医疗保险缴费经费，未参加医疗保险的行政单位的公费医疗经费，按国家规定享受离休人员、红军老战士待遇人员的医疗经费。</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十一、城乡社区支出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城乡社区规划与管理</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城乡社区规划与管理</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反映城乡社区、防灾减灾、历史名城规划制定与管理等方面的支出。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十二、城乡社区支出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国有土地使用权出让收入安排的支出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农业生产发展支出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反映土地出让收入用于高标准农田建设、农田水</w:t>
      </w:r>
      <w:r>
        <w:rPr>
          <w:rFonts w:ascii="仿宋" w:eastAsia="仿宋" w:hAnsi="仿宋" w:cs="仿宋" w:hint="eastAsia"/>
        </w:rPr>
        <w:t>利建设、农村土地综合整治、耕地及永久基本农田保护支出、现代种业提升等方面的支出。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十三、城乡社区支出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国有土地使用权出让收入安排的支出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农业农村生态环境支出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反映土地出让收入用于农村人居环境整治、与农业农村直接相关的山水林田湖草生态保护修复等方面的支出。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十四、农林水支出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林业和草原</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其他林业和草原支出</w:t>
      </w:r>
      <w:r>
        <w:rPr>
          <w:rFonts w:ascii="仿宋" w:eastAsia="仿宋" w:hAnsi="仿宋" w:cs="仿宋" w:hint="eastAsia"/>
          <w:b/>
          <w:bCs/>
        </w:rPr>
        <w:lastRenderedPageBreak/>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反映除上述项目以外其他用于林业和草原方面的支出。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十五、自然资源海洋气象等支出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自然资源事务</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行政运行</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反映行政单位（包括实行公务员管理的事业单位）的基本支出。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w:t>
      </w:r>
      <w:r>
        <w:rPr>
          <w:rFonts w:ascii="仿宋" w:eastAsia="仿宋" w:hAnsi="仿宋" w:cs="仿宋" w:hint="eastAsia"/>
          <w:b/>
          <w:bCs/>
        </w:rPr>
        <w:t>六、自然资源海洋气象等支出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自然资源事务</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自然资源行业业务管理</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反映自然资源行业业务管理经费支出，包括行业标准和规程、政策法规、审计监督、队伍建设等方面的支出。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十七、自然资源海洋气象等支出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自然资源事务</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其他自然资源事务支出</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反映除上述项目以外其他用于自然资源事务方面的支出。</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十八、住房保障支出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住房公积金</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反映行政事业单位按人力资源和社会保障部、财政部规定的基本工资和津贴补贴以及规定比例为职工缴纳的住房公积金。</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十九、住房保障支出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提租补贴</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反映按房改政策规定的标准，行政事业单位向职工（含离退休人员）发放的租金补贴。</w:t>
      </w:r>
    </w:p>
    <w:p w:rsidR="006E5555" w:rsidRDefault="00744F51">
      <w:pPr>
        <w:pStyle w:val="a4"/>
        <w:tabs>
          <w:tab w:val="left" w:pos="3864"/>
          <w:tab w:val="left" w:pos="6248"/>
          <w:tab w:val="left" w:pos="7386"/>
        </w:tabs>
        <w:spacing w:line="360" w:lineRule="auto"/>
        <w:ind w:leftChars="200" w:left="440" w:rightChars="229" w:right="504" w:firstLineChars="206" w:firstLine="662"/>
        <w:jc w:val="both"/>
        <w:rPr>
          <w:rFonts w:ascii="仿宋" w:eastAsia="仿宋" w:hAnsi="仿宋" w:cs="仿宋"/>
        </w:rPr>
      </w:pPr>
      <w:r>
        <w:rPr>
          <w:rFonts w:ascii="仿宋" w:eastAsia="仿宋" w:hAnsi="仿宋" w:cs="仿宋" w:hint="eastAsia"/>
          <w:b/>
          <w:bCs/>
        </w:rPr>
        <w:t>二十、住房保障支出</w:t>
      </w:r>
      <w:r>
        <w:rPr>
          <w:rFonts w:ascii="仿宋" w:eastAsia="仿宋" w:hAnsi="仿宋" w:cs="仿宋" w:hint="eastAsia"/>
          <w:b/>
          <w:bCs/>
        </w:rPr>
        <w:t>(</w:t>
      </w:r>
      <w:r>
        <w:rPr>
          <w:rFonts w:ascii="仿宋" w:eastAsia="仿宋" w:hAnsi="仿宋" w:cs="仿宋" w:hint="eastAsia"/>
          <w:b/>
          <w:bCs/>
        </w:rPr>
        <w:t>类</w:t>
      </w:r>
      <w:r>
        <w:rPr>
          <w:rFonts w:ascii="仿宋" w:eastAsia="仿宋" w:hAnsi="仿宋" w:cs="仿宋" w:hint="eastAsia"/>
          <w:b/>
          <w:bCs/>
        </w:rPr>
        <w:t>)</w:t>
      </w:r>
      <w:r>
        <w:rPr>
          <w:rFonts w:ascii="仿宋" w:eastAsia="仿宋" w:hAnsi="仿宋" w:cs="仿宋" w:hint="eastAsia"/>
          <w:b/>
          <w:bCs/>
        </w:rPr>
        <w:t>住房改革支出</w:t>
      </w:r>
      <w:r>
        <w:rPr>
          <w:rFonts w:ascii="仿宋" w:eastAsia="仿宋" w:hAnsi="仿宋" w:cs="仿宋" w:hint="eastAsia"/>
          <w:b/>
          <w:bCs/>
        </w:rPr>
        <w:t>(</w:t>
      </w:r>
      <w:r>
        <w:rPr>
          <w:rFonts w:ascii="仿宋" w:eastAsia="仿宋" w:hAnsi="仿宋" w:cs="仿宋" w:hint="eastAsia"/>
          <w:b/>
          <w:bCs/>
        </w:rPr>
        <w:t>款</w:t>
      </w:r>
      <w:r>
        <w:rPr>
          <w:rFonts w:ascii="仿宋" w:eastAsia="仿宋" w:hAnsi="仿宋" w:cs="仿宋" w:hint="eastAsia"/>
          <w:b/>
          <w:bCs/>
        </w:rPr>
        <w:t>)</w:t>
      </w:r>
      <w:r>
        <w:rPr>
          <w:rFonts w:ascii="仿宋" w:eastAsia="仿宋" w:hAnsi="仿宋" w:cs="仿宋" w:hint="eastAsia"/>
          <w:b/>
          <w:bCs/>
        </w:rPr>
        <w:t>购房补贴</w:t>
      </w:r>
      <w:r>
        <w:rPr>
          <w:rFonts w:ascii="仿宋" w:eastAsia="仿宋" w:hAnsi="仿宋" w:cs="仿宋" w:hint="eastAsia"/>
          <w:b/>
          <w:bCs/>
        </w:rPr>
        <w:t>(</w:t>
      </w:r>
      <w:r>
        <w:rPr>
          <w:rFonts w:ascii="仿宋" w:eastAsia="仿宋" w:hAnsi="仿宋" w:cs="仿宋" w:hint="eastAsia"/>
          <w:b/>
          <w:bCs/>
        </w:rPr>
        <w:t>项</w:t>
      </w:r>
      <w:r>
        <w:rPr>
          <w:rFonts w:ascii="仿宋" w:eastAsia="仿宋" w:hAnsi="仿宋" w:cs="仿宋" w:hint="eastAsia"/>
          <w:b/>
          <w:bCs/>
        </w:rPr>
        <w:t>)</w:t>
      </w:r>
      <w:r>
        <w:rPr>
          <w:rFonts w:ascii="仿宋" w:eastAsia="仿宋" w:hAnsi="仿宋" w:cs="仿宋"/>
          <w:b/>
        </w:rPr>
        <w:t>：</w:t>
      </w:r>
      <w:r>
        <w:rPr>
          <w:rFonts w:ascii="仿宋" w:eastAsia="仿宋" w:hAnsi="仿宋" w:cs="仿宋" w:hint="eastAsia"/>
        </w:rPr>
        <w:t>反映按房改政策规定，行政事业单位向符合条件职工（含离退休人员）、军队</w:t>
      </w:r>
      <w:r>
        <w:rPr>
          <w:rFonts w:ascii="仿宋" w:eastAsia="仿宋" w:hAnsi="仿宋" w:cs="仿宋" w:hint="eastAsia"/>
        </w:rPr>
        <w:t>(</w:t>
      </w:r>
      <w:r>
        <w:rPr>
          <w:rFonts w:ascii="仿宋" w:eastAsia="仿宋" w:hAnsi="仿宋" w:cs="仿宋" w:hint="eastAsia"/>
        </w:rPr>
        <w:t>含武警</w:t>
      </w:r>
      <w:r>
        <w:rPr>
          <w:rFonts w:ascii="仿宋" w:eastAsia="仿宋" w:hAnsi="仿宋" w:cs="仿宋" w:hint="eastAsia"/>
        </w:rPr>
        <w:t>)</w:t>
      </w:r>
      <w:r>
        <w:rPr>
          <w:rFonts w:ascii="仿宋" w:eastAsia="仿宋" w:hAnsi="仿宋" w:cs="仿宋" w:hint="eastAsia"/>
        </w:rPr>
        <w:t>向转役复员离退休人员发放的用于购买住房的补贴。</w:t>
      </w:r>
    </w:p>
    <w:sectPr w:rsidR="006E5555">
      <w:pgSz w:w="11906" w:h="16838"/>
      <w:pgMar w:top="1580" w:right="820" w:bottom="770" w:left="822" w:header="170" w:footer="280" w:gutter="0"/>
      <w:pgNumType w:fmt="numberInDash"/>
      <w:cols w:space="720"/>
      <w:formProt w:val="0"/>
      <w:docGrid w:linePitch="1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F51" w:rsidRDefault="00744F51">
      <w:r>
        <w:separator/>
      </w:r>
    </w:p>
  </w:endnote>
  <w:endnote w:type="continuationSeparator" w:id="0">
    <w:p w:rsidR="00744F51" w:rsidRDefault="0074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Times New Roman">
    <w:panose1 w:val="02020603050405020304"/>
    <w:charset w:val="00"/>
    <w:family w:val="roman"/>
    <w:pitch w:val="variable"/>
    <w:sig w:usb0="E0002AFF" w:usb1="C0007841" w:usb2="00000009" w:usb3="00000000" w:csb0="000001FF" w:csb1="00000000"/>
  </w:font>
  <w:font w:name="Liberation Sans">
    <w:altName w:val="Arial Unicode MS"/>
    <w:charset w:val="86"/>
    <w:family w:val="roman"/>
    <w:pitch w:val="default"/>
    <w:sig w:usb0="00000000" w:usb1="500078FF" w:usb2="00000021" w:usb3="00000000" w:csb0="600001BF" w:csb1="DFF70000"/>
  </w:font>
  <w:font w:name="Liberation Mono">
    <w:charset w:val="86"/>
    <w:family w:val="roman"/>
    <w:pitch w:val="default"/>
    <w:sig w:usb0="E0000AFF" w:usb1="400078FF" w:usb2="00000001" w:usb3="00000000" w:csb0="600001BF" w:csb1="DFF70000"/>
  </w:font>
  <w:font w:name="新宋体">
    <w:panose1 w:val="02010609030101010101"/>
    <w:charset w:val="86"/>
    <w:family w:val="modern"/>
    <w:pitch w:val="fixed"/>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rPr>
        <w:rFonts w:ascii="黑体" w:eastAsia="黑体" w:hAnsi="黑体" w:cs="黑体"/>
      </w:rPr>
    </w:pPr>
    <w:r>
      <w:rPr>
        <w:rFonts w:ascii="黑体" w:eastAsia="黑体" w:hAnsi="黑体" w:cs="黑体"/>
        <w:noProof/>
        <w:lang w:val="en-US" w:bidi="ar-SA"/>
      </w:rPr>
      <mc:AlternateContent>
        <mc:Choice Requires="wps">
          <w:drawing>
            <wp:anchor distT="0" distB="0" distL="114300" distR="114300" simplePos="0" relativeHeight="251651072" behindDoc="0" locked="0" layoutInCell="1" allowOverlap="1">
              <wp:simplePos x="0" y="0"/>
              <wp:positionH relativeFrom="margin">
                <wp:align>center</wp:align>
              </wp:positionH>
              <wp:positionV relativeFrom="paragraph">
                <wp:posOffset>0</wp:posOffset>
              </wp:positionV>
              <wp:extent cx="286385" cy="147955"/>
              <wp:effectExtent l="0" t="0" r="0" b="0"/>
              <wp:wrapNone/>
              <wp:docPr id="16" name="Text Box 10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385" cy="147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rPr>
                              <w:rFonts w:ascii="黑体" w:eastAsia="黑体" w:hAnsi="黑体" w:cs="黑体"/>
                            </w:rPr>
                          </w:pPr>
                          <w:r>
                            <w:rPr>
                              <w:rFonts w:ascii="黑体" w:eastAsia="黑体" w:hAnsi="黑体" w:cs="黑体" w:hint="eastAsia"/>
                            </w:rPr>
                            <w:fldChar w:fldCharType="begin"/>
                          </w:r>
                          <w:r>
                            <w:rPr>
                              <w:rFonts w:ascii="黑体" w:eastAsia="黑体" w:hAnsi="黑体" w:cs="黑体" w:hint="eastAsia"/>
                            </w:rPr>
                            <w:instrText xml:space="preserve"> PAGE  \* MERGEFORMAT </w:instrText>
                          </w:r>
                          <w:r>
                            <w:rPr>
                              <w:rFonts w:ascii="黑体" w:eastAsia="黑体" w:hAnsi="黑体" w:cs="黑体" w:hint="eastAsia"/>
                            </w:rPr>
                            <w:fldChar w:fldCharType="separate"/>
                          </w:r>
                          <w:r w:rsidR="000F72D0">
                            <w:rPr>
                              <w:rFonts w:ascii="黑体" w:eastAsia="黑体" w:hAnsi="黑体" w:cs="黑体"/>
                              <w:noProof/>
                            </w:rPr>
                            <w:t>- 1 -</w:t>
                          </w:r>
                          <w:r>
                            <w:rPr>
                              <w:rFonts w:ascii="黑体" w:eastAsia="黑体" w:hAnsi="黑体" w:cs="黑体"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5" o:spid="_x0000_s1026" type="#_x0000_t202" style="position:absolute;left:0;text-align:left;margin-left:0;margin-top:0;width:22.55pt;height:11.65pt;z-index:251651072;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" filled="f" stroked="f">
              <v:textbox style="mso-fit-shape-to-text:t" inset="0,0,0,0">
                <w:txbxContent>
                  <w:p w:rsidR="006E5555" w:rsidRDefault="00744F51">
                    <w:pPr>
                      <w:pStyle w:val="a5"/>
                      <w:rPr>
                        <w:rFonts w:ascii="黑体" w:eastAsia="黑体" w:hAnsi="黑体" w:cs="黑体"/>
                      </w:rPr>
                    </w:pPr>
                    <w:r>
                      <w:rPr>
                        <w:rFonts w:ascii="黑体" w:eastAsia="黑体" w:hAnsi="黑体" w:cs="黑体" w:hint="eastAsia"/>
                      </w:rPr>
                      <w:fldChar w:fldCharType="begin"/>
                    </w:r>
                    <w:r>
                      <w:rPr>
                        <w:rFonts w:ascii="黑体" w:eastAsia="黑体" w:hAnsi="黑体" w:cs="黑体" w:hint="eastAsia"/>
                      </w:rPr>
                      <w:instrText xml:space="preserve"> PAGE  \* MERGEFORMAT </w:instrText>
                    </w:r>
                    <w:r>
                      <w:rPr>
                        <w:rFonts w:ascii="黑体" w:eastAsia="黑体" w:hAnsi="黑体" w:cs="黑体" w:hint="eastAsia"/>
                      </w:rPr>
                      <w:fldChar w:fldCharType="separate"/>
                    </w:r>
                    <w:r w:rsidR="000F72D0">
                      <w:rPr>
                        <w:rFonts w:ascii="黑体" w:eastAsia="黑体" w:hAnsi="黑体" w:cs="黑体"/>
                        <w:noProof/>
                      </w:rPr>
                      <w:t>- 1 -</w:t>
                    </w:r>
                    <w:r>
                      <w:rPr>
                        <w:rFonts w:ascii="黑体" w:eastAsia="黑体" w:hAnsi="黑体" w:cs="黑体" w:hint="eastAsia"/>
                      </w:rPr>
                      <w:fldChar w:fldCharType="end"/>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rPr>
        <w:rFonts w:ascii="黑体" w:eastAsia="黑体" w:hAnsi="黑体" w:cs="黑体"/>
      </w:rPr>
    </w:pPr>
    <w:r>
      <w:rPr>
        <w:rFonts w:ascii="黑体" w:eastAsia="黑体" w:hAnsi="黑体" w:cs="黑体"/>
        <w:noProof/>
        <w:lang w:val="en-US" w:bidi="ar-SA"/>
      </w:rPr>
      <mc:AlternateContent>
        <mc:Choice Requires="wps">
          <w:drawing>
            <wp:anchor distT="0" distB="0" distL="114300" distR="114300" simplePos="0" relativeHeight="251652096" behindDoc="0" locked="0" layoutInCell="1" allowOverlap="1">
              <wp:simplePos x="0" y="0"/>
              <wp:positionH relativeFrom="margin">
                <wp:align>center</wp:align>
              </wp:positionH>
              <wp:positionV relativeFrom="paragraph">
                <wp:posOffset>0</wp:posOffset>
              </wp:positionV>
              <wp:extent cx="286385" cy="147955"/>
              <wp:effectExtent l="0" t="0" r="0" b="0"/>
              <wp:wrapNone/>
              <wp:docPr id="15" name="Text Box 10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385" cy="147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rPr>
                              <w:rFonts w:ascii="黑体" w:eastAsia="黑体" w:hAnsi="黑体" w:cs="黑体"/>
                            </w:rPr>
                          </w:pPr>
                          <w:r>
                            <w:rPr>
                              <w:rFonts w:ascii="黑体" w:eastAsia="黑体" w:hAnsi="黑体" w:cs="黑体" w:hint="eastAsia"/>
                            </w:rPr>
                            <w:fldChar w:fldCharType="begin"/>
                          </w:r>
                          <w:r>
                            <w:rPr>
                              <w:rFonts w:ascii="黑体" w:eastAsia="黑体" w:hAnsi="黑体" w:cs="黑体" w:hint="eastAsia"/>
                            </w:rPr>
                            <w:instrText xml:space="preserve"> PAGE  \* MERGEFORMAT </w:instrText>
                          </w:r>
                          <w:r>
                            <w:rPr>
                              <w:rFonts w:ascii="黑体" w:eastAsia="黑体" w:hAnsi="黑体" w:cs="黑体" w:hint="eastAsia"/>
                            </w:rPr>
                            <w:fldChar w:fldCharType="separate"/>
                          </w:r>
                          <w:r w:rsidR="000F72D0">
                            <w:rPr>
                              <w:rFonts w:ascii="黑体" w:eastAsia="黑体" w:hAnsi="黑体" w:cs="黑体"/>
                              <w:noProof/>
                            </w:rPr>
                            <w:t>- 9 -</w:t>
                          </w:r>
                          <w:r>
                            <w:rPr>
                              <w:rFonts w:ascii="黑体" w:eastAsia="黑体" w:hAnsi="黑体" w:cs="黑体"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41" o:spid="_x0000_s1027" type="#_x0000_t202" style="position:absolute;left:0;text-align:left;margin-left:0;margin-top:0;width:22.55pt;height:11.65pt;z-index:251652096;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" filled="f" stroked="f">
              <v:textbox style="mso-fit-shape-to-text:t" inset="0,0,0,0">
                <w:txbxContent>
                  <w:p w:rsidR="006E5555" w:rsidRDefault="00744F51">
                    <w:pPr>
                      <w:pStyle w:val="a5"/>
                      <w:rPr>
                        <w:rFonts w:ascii="黑体" w:eastAsia="黑体" w:hAnsi="黑体" w:cs="黑体"/>
                      </w:rPr>
                    </w:pPr>
                    <w:r>
                      <w:rPr>
                        <w:rFonts w:ascii="黑体" w:eastAsia="黑体" w:hAnsi="黑体" w:cs="黑体" w:hint="eastAsia"/>
                      </w:rPr>
                      <w:fldChar w:fldCharType="begin"/>
                    </w:r>
                    <w:r>
                      <w:rPr>
                        <w:rFonts w:ascii="黑体" w:eastAsia="黑体" w:hAnsi="黑体" w:cs="黑体" w:hint="eastAsia"/>
                      </w:rPr>
                      <w:instrText xml:space="preserve"> PAGE  \* MERGEFORMAT </w:instrText>
                    </w:r>
                    <w:r>
                      <w:rPr>
                        <w:rFonts w:ascii="黑体" w:eastAsia="黑体" w:hAnsi="黑体" w:cs="黑体" w:hint="eastAsia"/>
                      </w:rPr>
                      <w:fldChar w:fldCharType="separate"/>
                    </w:r>
                    <w:r w:rsidR="000F72D0">
                      <w:rPr>
                        <w:rFonts w:ascii="黑体" w:eastAsia="黑体" w:hAnsi="黑体" w:cs="黑体"/>
                        <w:noProof/>
                      </w:rPr>
                      <w:t>- 9 -</w:t>
                    </w:r>
                    <w:r>
                      <w:rPr>
                        <w:rFonts w:ascii="黑体" w:eastAsia="黑体" w:hAnsi="黑体" w:cs="黑体" w:hint="eastAsia"/>
                      </w:rPr>
                      <w:fldChar w:fldCharType="end"/>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53120" behindDoc="0" locked="0" layoutInCell="1" allowOverlap="1">
              <wp:simplePos x="0" y="0"/>
              <wp:positionH relativeFrom="margin">
                <wp:align>center</wp:align>
              </wp:positionH>
              <wp:positionV relativeFrom="paragraph">
                <wp:posOffset>0</wp:posOffset>
              </wp:positionV>
              <wp:extent cx="267335" cy="199390"/>
              <wp:effectExtent l="0" t="0" r="0" b="0"/>
              <wp:wrapNone/>
              <wp:docPr id="14" name="Text Box 10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- 11 -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9" o:spid="_x0000_s1028" type="#_x0000_t202" style="position:absolute;left:0;text-align:left;margin-left:0;margin-top:0;width:21.05pt;height:15.7pt;z-index:251653120;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- 11 -</w:t>
                    </w:r>
                    <w:r>
                      <w:rPr>
                        <w:rFonts w:hint="eastAsia"/>
                      </w:rPr>
                      <w:fldChar w:fldCharType="end"/>
                    </w:r>
                  </w:p>
                </w:txbxContent>
              </v:textbox>
              <w10:wrap anchorx="margin"/>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54144" behindDoc="0" locked="0" layoutInCell="1" allowOverlap="1">
              <wp:simplePos x="0" y="0"/>
              <wp:positionH relativeFrom="margin">
                <wp:align>center</wp:align>
              </wp:positionH>
              <wp:positionV relativeFrom="paragraph">
                <wp:posOffset>0</wp:posOffset>
              </wp:positionV>
              <wp:extent cx="267335" cy="199390"/>
              <wp:effectExtent l="0" t="0" r="0" b="0"/>
              <wp:wrapNone/>
              <wp:docPr id="13" name="Text Box 10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- 12 -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40" o:spid="_x0000_s1029" type="#_x0000_t202" style="position:absolute;left:0;text-align:left;margin-left:0;margin-top:0;width:21.05pt;height:15.7pt;z-index:25165414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- 12 -</w:t>
                    </w:r>
                    <w:r>
                      <w:rPr>
                        <w:rFonts w:hint="eastAsia"/>
                      </w:rPr>
                      <w:fldChar w:fldCharType="end"/>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55168" behindDoc="0" locked="0" layoutInCell="1" allowOverlap="1">
              <wp:simplePos x="0" y="0"/>
              <wp:positionH relativeFrom="margin">
                <wp:align>center</wp:align>
              </wp:positionH>
              <wp:positionV relativeFrom="paragraph">
                <wp:posOffset>0</wp:posOffset>
              </wp:positionV>
              <wp:extent cx="267335" cy="199390"/>
              <wp:effectExtent l="0" t="0" r="0" b="0"/>
              <wp:wrapNone/>
              <wp:docPr id="12" name="Text Box 10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- 14 -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7" o:spid="_x0000_s1030" type="#_x0000_t202" style="position:absolute;left:0;text-align:left;margin-left:0;margin-top:0;width:21.05pt;height:15.7pt;z-index:251655168;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- 14 -</w:t>
                    </w:r>
                    <w:r>
                      <w:rPr>
                        <w:rFonts w:hint="eastAsia"/>
                      </w:rPr>
                      <w:fldChar w:fldCharType="end"/>
                    </w:r>
                  </w:p>
                </w:txbxContent>
              </v:textbox>
              <w10:wrap anchorx="margin"/>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56192" behindDoc="0" locked="0" layoutInCell="1" allowOverlap="1">
              <wp:simplePos x="0" y="0"/>
              <wp:positionH relativeFrom="margin">
                <wp:align>center</wp:align>
              </wp:positionH>
              <wp:positionV relativeFrom="paragraph">
                <wp:posOffset>0</wp:posOffset>
              </wp:positionV>
              <wp:extent cx="267335" cy="199390"/>
              <wp:effectExtent l="0" t="0" r="0" b="0"/>
              <wp:wrapNone/>
              <wp:docPr id="11" name="Text Box 10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- 16 -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8" o:spid="_x0000_s1031" type="#_x0000_t202" style="position:absolute;left:0;text-align:left;margin-left:0;margin-top:0;width:21.05pt;height:15.7pt;z-index:251656192;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- 16 -</w:t>
                    </w:r>
                    <w:r>
                      <w:rPr>
                        <w:rFonts w:hint="eastAsia"/>
                      </w:rPr>
                      <w:fldChar w:fldCharType="end"/>
                    </w:r>
                  </w:p>
                </w:txbxContent>
              </v:textbox>
              <w10:wrap anchorx="margin"/>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267335" cy="199390"/>
              <wp:effectExtent l="0" t="0" r="0" b="0"/>
              <wp:wrapNone/>
              <wp:docPr id="10" name="Text Box 10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- 18 -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29" o:spid="_x0000_s1032" type="#_x0000_t202" style="position:absolute;left:0;text-align:left;margin-left:0;margin-top:0;width:21.05pt;height:15.7pt;z-index:251657216;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- 18 -</w:t>
                    </w:r>
                    <w:r>
                      <w:rPr>
                        <w:rFonts w:hint="eastAsia"/>
                      </w:rPr>
                      <w:fldChar w:fldCharType="end"/>
                    </w:r>
                  </w:p>
                </w:txbxContent>
              </v:textbox>
              <w10:wrap anchorx="margin"/>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267335" cy="199390"/>
              <wp:effectExtent l="0" t="0" r="0" b="0"/>
              <wp:wrapNone/>
              <wp:docPr id="9" name="Text Box 10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- 19 -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0" o:spid="_x0000_s1033" type="#_x0000_t202" style="position:absolute;left:0;text-align:left;margin-left:0;margin-top:0;width:21.05pt;height:15.7pt;z-index:251658240;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- 19 -</w:t>
                    </w:r>
                    <w:r>
                      <w:rPr>
                        <w:rFonts w:hint="eastAsia"/>
                      </w:rPr>
                      <w:fldChar w:fldCharType="end"/>
                    </w:r>
                  </w:p>
                </w:txbxContent>
              </v:textbox>
              <w10:wrap anchorx="margin"/>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67335" cy="199390"/>
              <wp:effectExtent l="0" t="0" r="0" b="0"/>
              <wp:wrapNone/>
              <wp:docPr id="8" name="Text Box 10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- 21 -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1" o:spid="_x0000_s1034" type="#_x0000_t202" style="position:absolute;left:0;text-align:left;margin-left:0;margin-top:0;width:21.05pt;height:15.7pt;z-index:25165926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- 21 -</w:t>
                    </w:r>
                    <w:r>
                      <w:rPr>
                        <w:rFonts w:hint="eastAsia"/>
                      </w:rPr>
                      <w:fldChar w:fldCharType="end"/>
                    </w:r>
                  </w:p>
                </w:txbxContent>
              </v:textbox>
              <w10:wrap anchorx="margin"/>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267335" cy="199390"/>
              <wp:effectExtent l="0" t="0" r="0" b="0"/>
              <wp:wrapNone/>
              <wp:docPr id="7" name="Text Box 10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- 22 -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2" o:spid="_x0000_s1035" type="#_x0000_t202" style="position:absolute;left:0;text-align:left;margin-left:0;margin-top:0;width:21.05pt;height:15.7pt;z-index:251660288;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- 22 -</w:t>
                    </w:r>
                    <w:r>
                      <w:rPr>
                        <w:rFonts w:hint="eastAsia"/>
                      </w:rPr>
                      <w:fldChar w:fldCharType="end"/>
                    </w:r>
                  </w:p>
                </w:txbxContent>
              </v:textbox>
              <w10:wrap anchorx="margin"/>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267335" cy="199390"/>
              <wp:effectExtent l="0" t="0" r="0" b="0"/>
              <wp:wrapNone/>
              <wp:docPr id="6" name="Text Box 10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- 23 -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3" o:spid="_x0000_s1036" type="#_x0000_t202" style="position:absolute;left:0;text-align:left;margin-left:0;margin-top:0;width:21.05pt;height:15.7pt;z-index:251661312;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- 23 -</w:t>
                    </w:r>
                    <w:r>
                      <w:rPr>
                        <w:rFonts w:hint="eastAsia"/>
                      </w:rPr>
                      <w:fldChar w:fldCharType="end"/>
                    </w:r>
                  </w:p>
                </w:txbxContent>
              </v:textbox>
              <w10:wrap anchorx="margin"/>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267335" cy="199390"/>
              <wp:effectExtent l="0" t="0" r="0" b="0"/>
              <wp:wrapNone/>
              <wp:docPr id="5" name="Text Box 10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- 25 -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4" o:spid="_x0000_s1037" type="#_x0000_t202" style="position:absolute;left:0;text-align:left;margin-left:0;margin-top:0;width:21.05pt;height:15.7pt;z-index:251662336;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- 25 -</w:t>
                    </w:r>
                    <w:r>
                      <w:rPr>
                        <w:rFonts w:hint="eastAsia"/>
                      </w:rPr>
                      <w:fldChar w:fldCharType="end"/>
                    </w:r>
                  </w:p>
                </w:txbxContent>
              </v:textbox>
              <w10:wrap anchorx="margin"/>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267335" cy="199390"/>
              <wp:effectExtent l="0" t="0" r="0" b="0"/>
              <wp:wrapNone/>
              <wp:docPr id="4" name="Text Box 10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- 26 -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5" o:spid="_x0000_s1038" type="#_x0000_t202" style="position:absolute;left:0;text-align:left;margin-left:0;margin-top:0;width:21.05pt;height:15.7pt;z-index:251663360;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- 26 -</w:t>
                    </w:r>
                    <w:r>
                      <w:rPr>
                        <w:rFonts w:hint="eastAsia"/>
                      </w:rPr>
                      <w:fldChar w:fldCharType="end"/>
                    </w:r>
                  </w:p>
                </w:txbxContent>
              </v:textbox>
              <w10:wrap anchorx="margin"/>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0F72D0">
    <w:pPr>
      <w:pStyle w:val="a5"/>
      <w:jc w:val="center"/>
    </w:pPr>
    <w:r>
      <w:rPr>
        <w:noProof/>
        <w:lang w:val="en-US" w:bidi="ar-SA"/>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267335" cy="199390"/>
              <wp:effectExtent l="0" t="0" r="0" b="0"/>
              <wp:wrapNone/>
              <wp:docPr id="3" name="Text Box 10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335" cy="199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- 41 -</w:t>
                          </w:r>
                          <w:r>
                            <w:rPr>
                              <w:rFonts w:hint="eastAsia"/>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36" o:spid="_x0000_s1039" type="#_x0000_t202" style="position:absolute;left:0;text-align:left;margin-left:0;margin-top:0;width:21.05pt;height:15.7pt;z-index:25166438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" filled="f" stroked="f">
              <v:textbox style="mso-fit-shape-to-text:t" inset="0,0,0,0">
                <w:txbxContent>
                  <w:p w:rsidR="006E5555" w:rsidRDefault="00744F51">
                    <w:pPr>
                      <w:pStyle w:val="a5"/>
                    </w:pPr>
                    <w:r>
                      <w:rPr>
                        <w:rFonts w:hint="eastAsia"/>
                      </w:rPr>
                      <w:fldChar w:fldCharType="begin"/>
                    </w:r>
                    <w:r>
                      <w:rPr>
                        <w:rFonts w:hint="eastAsia"/>
                      </w:rPr>
                      <w:instrText xml:space="preserve"> PAGE  \* MERGEFORMAT </w:instrText>
                    </w:r>
                    <w:r>
                      <w:rPr>
                        <w:rFonts w:hint="eastAsia"/>
                      </w:rPr>
                      <w:fldChar w:fldCharType="separate"/>
                    </w:r>
                    <w:r w:rsidR="000F72D0">
                      <w:rPr>
                        <w:noProof/>
                      </w:rPr>
                      <w:t>- 41 -</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F51" w:rsidRDefault="00744F51">
      <w:r>
        <w:separator/>
      </w:r>
    </w:p>
  </w:footnote>
  <w:footnote w:type="continuationSeparator" w:id="0">
    <w:p w:rsidR="00744F51" w:rsidRDefault="00744F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744F51">
    <w:pPr>
      <w:pStyle w:val="a6"/>
      <w:pBdr>
        <w:bottom w:val="single" w:sz="4" w:space="1" w:color="000000"/>
      </w:pBdr>
      <w:jc w:val="both"/>
      <w:rPr>
        <w:lang w:val="en-US"/>
      </w:rPr>
    </w:pPr>
    <w:r>
      <w:rPr>
        <w:rFonts w:hint="eastAsia"/>
        <w:lang w:val="en-US"/>
      </w:rPr>
      <w:t>无锡市自然资源和规划局（本级）</w:t>
    </w:r>
    <w:r>
      <w:t>2023</w:t>
    </w:r>
    <w:r>
      <w:t>年度单位预算公开</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5555" w:rsidRDefault="006E5555">
    <w:pPr>
      <w:pStyle w:val="a6"/>
      <w:pBdr>
        <w:bottom w:val="none" w:sz="0" w:space="1" w:color="auto"/>
      </w:pBdr>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0"/>
  <w:autoHyphenation/>
  <w:noPunctuationKerning/>
  <w:characterSpacingControl w:val="doNotCompress"/>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wNWYwNGFmYzNiMTMwMzI4MzFhMzI2ZWRjOTFjMmMifQ=="/>
  </w:docVars>
  <w:rsids>
    <w:rsidRoot w:val="006E5555"/>
    <w:rsid w:val="DBEED555"/>
    <w:rsid w:val="00064984"/>
    <w:rsid w:val="00071288"/>
    <w:rsid w:val="00071789"/>
    <w:rsid w:val="000F12AB"/>
    <w:rsid w:val="000F72D0"/>
    <w:rsid w:val="001C31F9"/>
    <w:rsid w:val="00407CA7"/>
    <w:rsid w:val="00413AD8"/>
    <w:rsid w:val="004460AE"/>
    <w:rsid w:val="005F037B"/>
    <w:rsid w:val="00671ED7"/>
    <w:rsid w:val="00672164"/>
    <w:rsid w:val="006E5555"/>
    <w:rsid w:val="00744F51"/>
    <w:rsid w:val="00867423"/>
    <w:rsid w:val="008B5B05"/>
    <w:rsid w:val="00925913"/>
    <w:rsid w:val="009965EA"/>
    <w:rsid w:val="00A61D7A"/>
    <w:rsid w:val="00A6752E"/>
    <w:rsid w:val="00BD7F33"/>
    <w:rsid w:val="00C15920"/>
    <w:rsid w:val="00C35C3A"/>
    <w:rsid w:val="00C82582"/>
    <w:rsid w:val="00F12F06"/>
    <w:rsid w:val="00FA3233"/>
    <w:rsid w:val="010F1E77"/>
    <w:rsid w:val="01200B85"/>
    <w:rsid w:val="012323F2"/>
    <w:rsid w:val="01250615"/>
    <w:rsid w:val="012A50BF"/>
    <w:rsid w:val="015B071F"/>
    <w:rsid w:val="01661111"/>
    <w:rsid w:val="017E3D30"/>
    <w:rsid w:val="01875334"/>
    <w:rsid w:val="018E7014"/>
    <w:rsid w:val="019803DB"/>
    <w:rsid w:val="01C21D36"/>
    <w:rsid w:val="01C22655"/>
    <w:rsid w:val="01CD5A6A"/>
    <w:rsid w:val="01D4677F"/>
    <w:rsid w:val="01F17DF5"/>
    <w:rsid w:val="022643FE"/>
    <w:rsid w:val="0231361C"/>
    <w:rsid w:val="023277C7"/>
    <w:rsid w:val="02420B21"/>
    <w:rsid w:val="026604FF"/>
    <w:rsid w:val="027F398B"/>
    <w:rsid w:val="02A822D0"/>
    <w:rsid w:val="02A9040F"/>
    <w:rsid w:val="02B14230"/>
    <w:rsid w:val="02C41DBA"/>
    <w:rsid w:val="02D43672"/>
    <w:rsid w:val="02D56677"/>
    <w:rsid w:val="02DD471D"/>
    <w:rsid w:val="02DF2FA6"/>
    <w:rsid w:val="02E539E2"/>
    <w:rsid w:val="02E8449D"/>
    <w:rsid w:val="02EB5F67"/>
    <w:rsid w:val="02F513AC"/>
    <w:rsid w:val="0306289F"/>
    <w:rsid w:val="03121471"/>
    <w:rsid w:val="03126CBF"/>
    <w:rsid w:val="033F3F8A"/>
    <w:rsid w:val="03453111"/>
    <w:rsid w:val="03635EB9"/>
    <w:rsid w:val="03673847"/>
    <w:rsid w:val="03690F36"/>
    <w:rsid w:val="03793778"/>
    <w:rsid w:val="039F7320"/>
    <w:rsid w:val="03A06F63"/>
    <w:rsid w:val="03A76AFB"/>
    <w:rsid w:val="03D04B72"/>
    <w:rsid w:val="03D2638C"/>
    <w:rsid w:val="03D34A4B"/>
    <w:rsid w:val="03F86EFB"/>
    <w:rsid w:val="04156348"/>
    <w:rsid w:val="042D0AE6"/>
    <w:rsid w:val="04301AF9"/>
    <w:rsid w:val="043C03D6"/>
    <w:rsid w:val="044E689B"/>
    <w:rsid w:val="045E5FB7"/>
    <w:rsid w:val="046D688B"/>
    <w:rsid w:val="0495610D"/>
    <w:rsid w:val="04AD7D7D"/>
    <w:rsid w:val="04DF580C"/>
    <w:rsid w:val="04E54727"/>
    <w:rsid w:val="04EA46EB"/>
    <w:rsid w:val="04FC61BF"/>
    <w:rsid w:val="05031920"/>
    <w:rsid w:val="05185546"/>
    <w:rsid w:val="052126A9"/>
    <w:rsid w:val="0524518E"/>
    <w:rsid w:val="05247FC3"/>
    <w:rsid w:val="05346113"/>
    <w:rsid w:val="05423E9C"/>
    <w:rsid w:val="05600A24"/>
    <w:rsid w:val="057525F6"/>
    <w:rsid w:val="057D4E99"/>
    <w:rsid w:val="05843580"/>
    <w:rsid w:val="058A7C48"/>
    <w:rsid w:val="058C526F"/>
    <w:rsid w:val="0598316E"/>
    <w:rsid w:val="059F005F"/>
    <w:rsid w:val="05AB4AE4"/>
    <w:rsid w:val="05BD2716"/>
    <w:rsid w:val="05BE0290"/>
    <w:rsid w:val="05C26309"/>
    <w:rsid w:val="05C73A91"/>
    <w:rsid w:val="05D02834"/>
    <w:rsid w:val="05DB339C"/>
    <w:rsid w:val="05FE3016"/>
    <w:rsid w:val="060036BC"/>
    <w:rsid w:val="06006806"/>
    <w:rsid w:val="0603001C"/>
    <w:rsid w:val="060D1C4C"/>
    <w:rsid w:val="061C50DF"/>
    <w:rsid w:val="06230B92"/>
    <w:rsid w:val="063A5C0D"/>
    <w:rsid w:val="06542957"/>
    <w:rsid w:val="0681129C"/>
    <w:rsid w:val="06814BC1"/>
    <w:rsid w:val="069443D9"/>
    <w:rsid w:val="0695552F"/>
    <w:rsid w:val="06C82C74"/>
    <w:rsid w:val="06C87B62"/>
    <w:rsid w:val="06CE7B40"/>
    <w:rsid w:val="06CF29F0"/>
    <w:rsid w:val="06DF6D8E"/>
    <w:rsid w:val="06F64F39"/>
    <w:rsid w:val="072A453E"/>
    <w:rsid w:val="073A470E"/>
    <w:rsid w:val="074746B7"/>
    <w:rsid w:val="07502153"/>
    <w:rsid w:val="07520D7A"/>
    <w:rsid w:val="075575FE"/>
    <w:rsid w:val="07580A5A"/>
    <w:rsid w:val="07605D4D"/>
    <w:rsid w:val="07656047"/>
    <w:rsid w:val="077C711D"/>
    <w:rsid w:val="0791508D"/>
    <w:rsid w:val="079361A1"/>
    <w:rsid w:val="079544D8"/>
    <w:rsid w:val="07BE5639"/>
    <w:rsid w:val="07C509DD"/>
    <w:rsid w:val="07E94F52"/>
    <w:rsid w:val="07ED0853"/>
    <w:rsid w:val="0802783B"/>
    <w:rsid w:val="08031AA7"/>
    <w:rsid w:val="0806186F"/>
    <w:rsid w:val="081B2715"/>
    <w:rsid w:val="082E3E50"/>
    <w:rsid w:val="083365CC"/>
    <w:rsid w:val="083B723A"/>
    <w:rsid w:val="084A66D7"/>
    <w:rsid w:val="08582C83"/>
    <w:rsid w:val="0860441B"/>
    <w:rsid w:val="086A0004"/>
    <w:rsid w:val="088901F8"/>
    <w:rsid w:val="08913758"/>
    <w:rsid w:val="08931509"/>
    <w:rsid w:val="08A333FC"/>
    <w:rsid w:val="08B16290"/>
    <w:rsid w:val="08BD1AAD"/>
    <w:rsid w:val="08D342E7"/>
    <w:rsid w:val="08E134F8"/>
    <w:rsid w:val="08FC0605"/>
    <w:rsid w:val="08FE52B0"/>
    <w:rsid w:val="090F5FB7"/>
    <w:rsid w:val="09165D85"/>
    <w:rsid w:val="092660BA"/>
    <w:rsid w:val="0932487E"/>
    <w:rsid w:val="09335ED1"/>
    <w:rsid w:val="093E6258"/>
    <w:rsid w:val="096204B4"/>
    <w:rsid w:val="096B0C35"/>
    <w:rsid w:val="09755324"/>
    <w:rsid w:val="09891979"/>
    <w:rsid w:val="098926B4"/>
    <w:rsid w:val="09984875"/>
    <w:rsid w:val="09C976A3"/>
    <w:rsid w:val="09D842BB"/>
    <w:rsid w:val="09E82283"/>
    <w:rsid w:val="09EB3C7D"/>
    <w:rsid w:val="09F032D5"/>
    <w:rsid w:val="09F45579"/>
    <w:rsid w:val="09FE0C6E"/>
    <w:rsid w:val="0A097E66"/>
    <w:rsid w:val="0A0C628A"/>
    <w:rsid w:val="0A112BB9"/>
    <w:rsid w:val="0A1D215F"/>
    <w:rsid w:val="0A2639C8"/>
    <w:rsid w:val="0A3F45FE"/>
    <w:rsid w:val="0A401C98"/>
    <w:rsid w:val="0A6747AF"/>
    <w:rsid w:val="0A7F08D2"/>
    <w:rsid w:val="0A964BFD"/>
    <w:rsid w:val="0AA075CB"/>
    <w:rsid w:val="0AAE2A44"/>
    <w:rsid w:val="0AC21E5D"/>
    <w:rsid w:val="0AC55FA1"/>
    <w:rsid w:val="0ADA70C2"/>
    <w:rsid w:val="0AFD463B"/>
    <w:rsid w:val="0B05614C"/>
    <w:rsid w:val="0B134992"/>
    <w:rsid w:val="0B160131"/>
    <w:rsid w:val="0B230AE7"/>
    <w:rsid w:val="0B2A7862"/>
    <w:rsid w:val="0B307A4D"/>
    <w:rsid w:val="0B392278"/>
    <w:rsid w:val="0B47682F"/>
    <w:rsid w:val="0B7D689F"/>
    <w:rsid w:val="0B813D25"/>
    <w:rsid w:val="0B830273"/>
    <w:rsid w:val="0B89728A"/>
    <w:rsid w:val="0B927AE0"/>
    <w:rsid w:val="0BAC43D1"/>
    <w:rsid w:val="0BBA5B2E"/>
    <w:rsid w:val="0BC71572"/>
    <w:rsid w:val="0BCF6DAD"/>
    <w:rsid w:val="0BF41C52"/>
    <w:rsid w:val="0C047996"/>
    <w:rsid w:val="0C163DEC"/>
    <w:rsid w:val="0C2215AA"/>
    <w:rsid w:val="0C276CFA"/>
    <w:rsid w:val="0C6536DB"/>
    <w:rsid w:val="0C797590"/>
    <w:rsid w:val="0C8331D2"/>
    <w:rsid w:val="0C887036"/>
    <w:rsid w:val="0CA85DF1"/>
    <w:rsid w:val="0CD230A9"/>
    <w:rsid w:val="0CD65166"/>
    <w:rsid w:val="0CDB2BBC"/>
    <w:rsid w:val="0CE84C0B"/>
    <w:rsid w:val="0CEF2113"/>
    <w:rsid w:val="0CEF2581"/>
    <w:rsid w:val="0CF6511F"/>
    <w:rsid w:val="0D05225F"/>
    <w:rsid w:val="0D135B57"/>
    <w:rsid w:val="0D261419"/>
    <w:rsid w:val="0D5C0A4E"/>
    <w:rsid w:val="0D617032"/>
    <w:rsid w:val="0D6C5D61"/>
    <w:rsid w:val="0D710964"/>
    <w:rsid w:val="0D760FDB"/>
    <w:rsid w:val="0D7F345D"/>
    <w:rsid w:val="0D967B5D"/>
    <w:rsid w:val="0DAC0D2B"/>
    <w:rsid w:val="0DC6242A"/>
    <w:rsid w:val="0DD06A00"/>
    <w:rsid w:val="0DE15F97"/>
    <w:rsid w:val="0DEA4D10"/>
    <w:rsid w:val="0DF26A45"/>
    <w:rsid w:val="0DFC3CDF"/>
    <w:rsid w:val="0DFD772C"/>
    <w:rsid w:val="0DFF5826"/>
    <w:rsid w:val="0E1F1C4F"/>
    <w:rsid w:val="0E27451D"/>
    <w:rsid w:val="0E360EBF"/>
    <w:rsid w:val="0E446C91"/>
    <w:rsid w:val="0E5E7568"/>
    <w:rsid w:val="0E662847"/>
    <w:rsid w:val="0E931E6B"/>
    <w:rsid w:val="0E94230E"/>
    <w:rsid w:val="0E9B0E3D"/>
    <w:rsid w:val="0EE37775"/>
    <w:rsid w:val="0EEB14E4"/>
    <w:rsid w:val="0EFE25F0"/>
    <w:rsid w:val="0F074533"/>
    <w:rsid w:val="0F126197"/>
    <w:rsid w:val="0F160696"/>
    <w:rsid w:val="0F196D84"/>
    <w:rsid w:val="0F35442E"/>
    <w:rsid w:val="0F405BCB"/>
    <w:rsid w:val="0F5D08F2"/>
    <w:rsid w:val="0F636360"/>
    <w:rsid w:val="0F6874F8"/>
    <w:rsid w:val="0F722DC1"/>
    <w:rsid w:val="0F807B33"/>
    <w:rsid w:val="0F8F17E6"/>
    <w:rsid w:val="0F951429"/>
    <w:rsid w:val="0FA12FE2"/>
    <w:rsid w:val="0FA87597"/>
    <w:rsid w:val="0FB02B15"/>
    <w:rsid w:val="0FB21F29"/>
    <w:rsid w:val="0FB47D1E"/>
    <w:rsid w:val="0FCE598D"/>
    <w:rsid w:val="0FD04F5B"/>
    <w:rsid w:val="0FEF37CA"/>
    <w:rsid w:val="0FF3733C"/>
    <w:rsid w:val="100928FC"/>
    <w:rsid w:val="101C6AA7"/>
    <w:rsid w:val="10201C61"/>
    <w:rsid w:val="10223EE6"/>
    <w:rsid w:val="1027035F"/>
    <w:rsid w:val="102A69EF"/>
    <w:rsid w:val="103D6600"/>
    <w:rsid w:val="10566122"/>
    <w:rsid w:val="106204CB"/>
    <w:rsid w:val="10A90FB7"/>
    <w:rsid w:val="10EE0376"/>
    <w:rsid w:val="10F05AC0"/>
    <w:rsid w:val="11037A82"/>
    <w:rsid w:val="1106739D"/>
    <w:rsid w:val="11082369"/>
    <w:rsid w:val="11092167"/>
    <w:rsid w:val="110C3973"/>
    <w:rsid w:val="110D47B0"/>
    <w:rsid w:val="11110225"/>
    <w:rsid w:val="111930E1"/>
    <w:rsid w:val="11252430"/>
    <w:rsid w:val="1143676B"/>
    <w:rsid w:val="11471791"/>
    <w:rsid w:val="115455AE"/>
    <w:rsid w:val="11566852"/>
    <w:rsid w:val="11665F46"/>
    <w:rsid w:val="11731E49"/>
    <w:rsid w:val="117C1012"/>
    <w:rsid w:val="11872569"/>
    <w:rsid w:val="118B4C58"/>
    <w:rsid w:val="11AB09B5"/>
    <w:rsid w:val="11C36B1F"/>
    <w:rsid w:val="11C52DC5"/>
    <w:rsid w:val="11F13A70"/>
    <w:rsid w:val="11F221C7"/>
    <w:rsid w:val="11F2605E"/>
    <w:rsid w:val="11F724E3"/>
    <w:rsid w:val="120D722B"/>
    <w:rsid w:val="120E398D"/>
    <w:rsid w:val="122227BF"/>
    <w:rsid w:val="12313173"/>
    <w:rsid w:val="12313682"/>
    <w:rsid w:val="12417561"/>
    <w:rsid w:val="124507C4"/>
    <w:rsid w:val="125C02AF"/>
    <w:rsid w:val="12613C4A"/>
    <w:rsid w:val="12747306"/>
    <w:rsid w:val="128157F4"/>
    <w:rsid w:val="12B566A2"/>
    <w:rsid w:val="12BB25EA"/>
    <w:rsid w:val="12C448B1"/>
    <w:rsid w:val="12C80F12"/>
    <w:rsid w:val="12F05187"/>
    <w:rsid w:val="12F12F8E"/>
    <w:rsid w:val="13082AF4"/>
    <w:rsid w:val="13142710"/>
    <w:rsid w:val="1335650B"/>
    <w:rsid w:val="133E1FA2"/>
    <w:rsid w:val="134640CA"/>
    <w:rsid w:val="1393557C"/>
    <w:rsid w:val="139377AA"/>
    <w:rsid w:val="13A44407"/>
    <w:rsid w:val="13BF1F88"/>
    <w:rsid w:val="13D61754"/>
    <w:rsid w:val="13E2730D"/>
    <w:rsid w:val="13F85ED3"/>
    <w:rsid w:val="140626B0"/>
    <w:rsid w:val="140C350F"/>
    <w:rsid w:val="14176DEC"/>
    <w:rsid w:val="14207DA2"/>
    <w:rsid w:val="142101C9"/>
    <w:rsid w:val="1426656E"/>
    <w:rsid w:val="14290F74"/>
    <w:rsid w:val="143016E3"/>
    <w:rsid w:val="143164E8"/>
    <w:rsid w:val="14341A45"/>
    <w:rsid w:val="14677E98"/>
    <w:rsid w:val="146856DB"/>
    <w:rsid w:val="147E4E1C"/>
    <w:rsid w:val="14933F94"/>
    <w:rsid w:val="14A601B4"/>
    <w:rsid w:val="14AA0D30"/>
    <w:rsid w:val="14BA3B44"/>
    <w:rsid w:val="14BC5944"/>
    <w:rsid w:val="1504334D"/>
    <w:rsid w:val="15085477"/>
    <w:rsid w:val="15301F7D"/>
    <w:rsid w:val="15510701"/>
    <w:rsid w:val="15664CCA"/>
    <w:rsid w:val="15751E1E"/>
    <w:rsid w:val="159E0364"/>
    <w:rsid w:val="15A6321E"/>
    <w:rsid w:val="15A93A1E"/>
    <w:rsid w:val="15B93CF7"/>
    <w:rsid w:val="15BC393E"/>
    <w:rsid w:val="15D36B14"/>
    <w:rsid w:val="16053674"/>
    <w:rsid w:val="16146EAD"/>
    <w:rsid w:val="161A451C"/>
    <w:rsid w:val="161E395E"/>
    <w:rsid w:val="1621543B"/>
    <w:rsid w:val="1624624B"/>
    <w:rsid w:val="16362556"/>
    <w:rsid w:val="163E1726"/>
    <w:rsid w:val="164E09AC"/>
    <w:rsid w:val="165D4EE7"/>
    <w:rsid w:val="165F31F4"/>
    <w:rsid w:val="1668038E"/>
    <w:rsid w:val="16761AB0"/>
    <w:rsid w:val="167F1A6B"/>
    <w:rsid w:val="16971C37"/>
    <w:rsid w:val="16BC7A59"/>
    <w:rsid w:val="16BE14E7"/>
    <w:rsid w:val="16BE34FA"/>
    <w:rsid w:val="16E22E32"/>
    <w:rsid w:val="16ED632E"/>
    <w:rsid w:val="170E72F7"/>
    <w:rsid w:val="1717031D"/>
    <w:rsid w:val="171E4E0F"/>
    <w:rsid w:val="174C5C53"/>
    <w:rsid w:val="175D47C3"/>
    <w:rsid w:val="17A3379A"/>
    <w:rsid w:val="17AA17F9"/>
    <w:rsid w:val="17BB6387"/>
    <w:rsid w:val="17BC2D29"/>
    <w:rsid w:val="17CE15BC"/>
    <w:rsid w:val="17E30A34"/>
    <w:rsid w:val="18001707"/>
    <w:rsid w:val="1808589E"/>
    <w:rsid w:val="18222DA8"/>
    <w:rsid w:val="18272F04"/>
    <w:rsid w:val="183338BA"/>
    <w:rsid w:val="18473583"/>
    <w:rsid w:val="18524953"/>
    <w:rsid w:val="186600A5"/>
    <w:rsid w:val="18794B37"/>
    <w:rsid w:val="18881E90"/>
    <w:rsid w:val="188B47DF"/>
    <w:rsid w:val="18916DBC"/>
    <w:rsid w:val="18AA3C15"/>
    <w:rsid w:val="18C07826"/>
    <w:rsid w:val="18C459C9"/>
    <w:rsid w:val="18C77023"/>
    <w:rsid w:val="18D61672"/>
    <w:rsid w:val="18EF66F3"/>
    <w:rsid w:val="18FD3C01"/>
    <w:rsid w:val="19195D82"/>
    <w:rsid w:val="191C7DE1"/>
    <w:rsid w:val="19343FC3"/>
    <w:rsid w:val="19414FE0"/>
    <w:rsid w:val="194A216C"/>
    <w:rsid w:val="194C63DF"/>
    <w:rsid w:val="19517451"/>
    <w:rsid w:val="196D1879"/>
    <w:rsid w:val="19894C4A"/>
    <w:rsid w:val="19902294"/>
    <w:rsid w:val="199B578D"/>
    <w:rsid w:val="199D3E22"/>
    <w:rsid w:val="19A676CD"/>
    <w:rsid w:val="19B34CEE"/>
    <w:rsid w:val="19C57B31"/>
    <w:rsid w:val="19CE54E8"/>
    <w:rsid w:val="19DA0E66"/>
    <w:rsid w:val="1A0868DE"/>
    <w:rsid w:val="1A1F3D9C"/>
    <w:rsid w:val="1A386BB6"/>
    <w:rsid w:val="1A3E0B9C"/>
    <w:rsid w:val="1A641248"/>
    <w:rsid w:val="1A69798E"/>
    <w:rsid w:val="1A6B178B"/>
    <w:rsid w:val="1A777E45"/>
    <w:rsid w:val="1A980FA1"/>
    <w:rsid w:val="1AB47408"/>
    <w:rsid w:val="1AD90120"/>
    <w:rsid w:val="1ADD7704"/>
    <w:rsid w:val="1AEB035A"/>
    <w:rsid w:val="1AF0114F"/>
    <w:rsid w:val="1B0C3664"/>
    <w:rsid w:val="1B136BC2"/>
    <w:rsid w:val="1B1C5890"/>
    <w:rsid w:val="1B1D0ABE"/>
    <w:rsid w:val="1B2F4D83"/>
    <w:rsid w:val="1B304188"/>
    <w:rsid w:val="1B304996"/>
    <w:rsid w:val="1B363B76"/>
    <w:rsid w:val="1B394ECA"/>
    <w:rsid w:val="1B401513"/>
    <w:rsid w:val="1B6F2A95"/>
    <w:rsid w:val="1B7011A6"/>
    <w:rsid w:val="1B785235"/>
    <w:rsid w:val="1B792ACF"/>
    <w:rsid w:val="1B840862"/>
    <w:rsid w:val="1B894395"/>
    <w:rsid w:val="1BB55613"/>
    <w:rsid w:val="1BC27E9A"/>
    <w:rsid w:val="1BC50E0F"/>
    <w:rsid w:val="1BC6758D"/>
    <w:rsid w:val="1BC84BF9"/>
    <w:rsid w:val="1BCA1AE9"/>
    <w:rsid w:val="1BD968B0"/>
    <w:rsid w:val="1BE008E5"/>
    <w:rsid w:val="1BE426E0"/>
    <w:rsid w:val="1BEF5EDC"/>
    <w:rsid w:val="1BF3045F"/>
    <w:rsid w:val="1C0C63DC"/>
    <w:rsid w:val="1C136791"/>
    <w:rsid w:val="1C171374"/>
    <w:rsid w:val="1C2E7658"/>
    <w:rsid w:val="1C3911E9"/>
    <w:rsid w:val="1C460024"/>
    <w:rsid w:val="1C4928ED"/>
    <w:rsid w:val="1C545CAF"/>
    <w:rsid w:val="1C706707"/>
    <w:rsid w:val="1C8F4549"/>
    <w:rsid w:val="1C923280"/>
    <w:rsid w:val="1C9B1094"/>
    <w:rsid w:val="1C9D7829"/>
    <w:rsid w:val="1CA25487"/>
    <w:rsid w:val="1CAD7144"/>
    <w:rsid w:val="1CD05B49"/>
    <w:rsid w:val="1CD53375"/>
    <w:rsid w:val="1CD770E1"/>
    <w:rsid w:val="1CDF3C35"/>
    <w:rsid w:val="1CE24559"/>
    <w:rsid w:val="1CE7284C"/>
    <w:rsid w:val="1CED64E7"/>
    <w:rsid w:val="1CF655C7"/>
    <w:rsid w:val="1CF70CE3"/>
    <w:rsid w:val="1D0936F0"/>
    <w:rsid w:val="1D0E4D1B"/>
    <w:rsid w:val="1D0F64B4"/>
    <w:rsid w:val="1D103F06"/>
    <w:rsid w:val="1D201166"/>
    <w:rsid w:val="1D3214B5"/>
    <w:rsid w:val="1D383DB3"/>
    <w:rsid w:val="1D387361"/>
    <w:rsid w:val="1D387D1B"/>
    <w:rsid w:val="1D552DD9"/>
    <w:rsid w:val="1D5A4782"/>
    <w:rsid w:val="1D623037"/>
    <w:rsid w:val="1D672CB3"/>
    <w:rsid w:val="1D7C0925"/>
    <w:rsid w:val="1D817975"/>
    <w:rsid w:val="1D8D6595"/>
    <w:rsid w:val="1D906641"/>
    <w:rsid w:val="1D93356C"/>
    <w:rsid w:val="1D951979"/>
    <w:rsid w:val="1DA8336C"/>
    <w:rsid w:val="1DAF110E"/>
    <w:rsid w:val="1DB61054"/>
    <w:rsid w:val="1DB87467"/>
    <w:rsid w:val="1DC94431"/>
    <w:rsid w:val="1DD028C9"/>
    <w:rsid w:val="1DD2622D"/>
    <w:rsid w:val="1DF402E5"/>
    <w:rsid w:val="1E0F2F88"/>
    <w:rsid w:val="1E107489"/>
    <w:rsid w:val="1E120047"/>
    <w:rsid w:val="1E2456FC"/>
    <w:rsid w:val="1E2B042A"/>
    <w:rsid w:val="1E387717"/>
    <w:rsid w:val="1E4314E9"/>
    <w:rsid w:val="1E5227F5"/>
    <w:rsid w:val="1E5841ED"/>
    <w:rsid w:val="1E5939DF"/>
    <w:rsid w:val="1E5B1486"/>
    <w:rsid w:val="1E6C2CB1"/>
    <w:rsid w:val="1E802C45"/>
    <w:rsid w:val="1E845937"/>
    <w:rsid w:val="1E86604F"/>
    <w:rsid w:val="1E8B2478"/>
    <w:rsid w:val="1EA55F87"/>
    <w:rsid w:val="1EB14C1F"/>
    <w:rsid w:val="1EBB4C20"/>
    <w:rsid w:val="1EC57AB3"/>
    <w:rsid w:val="1ECE40F1"/>
    <w:rsid w:val="1EF33AAB"/>
    <w:rsid w:val="1EF93282"/>
    <w:rsid w:val="1EFC05DA"/>
    <w:rsid w:val="1F242409"/>
    <w:rsid w:val="1F316BB4"/>
    <w:rsid w:val="1F336463"/>
    <w:rsid w:val="1F342CDC"/>
    <w:rsid w:val="1F4E1AE0"/>
    <w:rsid w:val="1F5838AB"/>
    <w:rsid w:val="1F721347"/>
    <w:rsid w:val="1F7237CF"/>
    <w:rsid w:val="1F724421"/>
    <w:rsid w:val="1F8122F8"/>
    <w:rsid w:val="1F8B39C7"/>
    <w:rsid w:val="1F8C1569"/>
    <w:rsid w:val="1FA17CC2"/>
    <w:rsid w:val="1FB1012B"/>
    <w:rsid w:val="1FD5645B"/>
    <w:rsid w:val="1FD866E0"/>
    <w:rsid w:val="1FE16BA6"/>
    <w:rsid w:val="1FEA282E"/>
    <w:rsid w:val="1FF92872"/>
    <w:rsid w:val="1FFE4976"/>
    <w:rsid w:val="200945DD"/>
    <w:rsid w:val="200B03E4"/>
    <w:rsid w:val="200E293D"/>
    <w:rsid w:val="201802D4"/>
    <w:rsid w:val="203E1903"/>
    <w:rsid w:val="203E1A00"/>
    <w:rsid w:val="20571955"/>
    <w:rsid w:val="20594713"/>
    <w:rsid w:val="20623C07"/>
    <w:rsid w:val="20632091"/>
    <w:rsid w:val="20900DEF"/>
    <w:rsid w:val="209B6228"/>
    <w:rsid w:val="20C60ED2"/>
    <w:rsid w:val="20C936CA"/>
    <w:rsid w:val="20CA3D8E"/>
    <w:rsid w:val="20D220E2"/>
    <w:rsid w:val="20F544F1"/>
    <w:rsid w:val="21203D8A"/>
    <w:rsid w:val="2148186B"/>
    <w:rsid w:val="21650D4A"/>
    <w:rsid w:val="21776D10"/>
    <w:rsid w:val="21866291"/>
    <w:rsid w:val="218F0CEB"/>
    <w:rsid w:val="218F78F2"/>
    <w:rsid w:val="21A55BAA"/>
    <w:rsid w:val="21D50133"/>
    <w:rsid w:val="21EA64FE"/>
    <w:rsid w:val="22145011"/>
    <w:rsid w:val="223D4452"/>
    <w:rsid w:val="223F0861"/>
    <w:rsid w:val="22442034"/>
    <w:rsid w:val="224F77DA"/>
    <w:rsid w:val="227347E3"/>
    <w:rsid w:val="227D4749"/>
    <w:rsid w:val="22812FB7"/>
    <w:rsid w:val="228D26CE"/>
    <w:rsid w:val="229E476C"/>
    <w:rsid w:val="22B66C67"/>
    <w:rsid w:val="22B96619"/>
    <w:rsid w:val="22C32A6D"/>
    <w:rsid w:val="22C9349D"/>
    <w:rsid w:val="22CF4CB9"/>
    <w:rsid w:val="22E5714F"/>
    <w:rsid w:val="22E640D2"/>
    <w:rsid w:val="22F9307D"/>
    <w:rsid w:val="22FF181D"/>
    <w:rsid w:val="23017A9F"/>
    <w:rsid w:val="23073234"/>
    <w:rsid w:val="23153D35"/>
    <w:rsid w:val="231859C4"/>
    <w:rsid w:val="233651B2"/>
    <w:rsid w:val="233C5C01"/>
    <w:rsid w:val="234F51B0"/>
    <w:rsid w:val="23655593"/>
    <w:rsid w:val="237119E0"/>
    <w:rsid w:val="23873CA0"/>
    <w:rsid w:val="239B7C6E"/>
    <w:rsid w:val="23A668C2"/>
    <w:rsid w:val="23C56A83"/>
    <w:rsid w:val="23CC14AA"/>
    <w:rsid w:val="23D87A5D"/>
    <w:rsid w:val="23F81D1C"/>
    <w:rsid w:val="23F87AE8"/>
    <w:rsid w:val="24004EF0"/>
    <w:rsid w:val="241C168B"/>
    <w:rsid w:val="242403FF"/>
    <w:rsid w:val="242B2707"/>
    <w:rsid w:val="24361C71"/>
    <w:rsid w:val="2443382C"/>
    <w:rsid w:val="244706D0"/>
    <w:rsid w:val="244E4876"/>
    <w:rsid w:val="2455798C"/>
    <w:rsid w:val="246E4FE1"/>
    <w:rsid w:val="247771B1"/>
    <w:rsid w:val="24797436"/>
    <w:rsid w:val="24893698"/>
    <w:rsid w:val="248A0DA1"/>
    <w:rsid w:val="248B0DC9"/>
    <w:rsid w:val="24EF440E"/>
    <w:rsid w:val="25175618"/>
    <w:rsid w:val="25191A92"/>
    <w:rsid w:val="25290357"/>
    <w:rsid w:val="253C3B25"/>
    <w:rsid w:val="255657E1"/>
    <w:rsid w:val="255973A9"/>
    <w:rsid w:val="255F5B0A"/>
    <w:rsid w:val="2562495D"/>
    <w:rsid w:val="2565212F"/>
    <w:rsid w:val="25664EB1"/>
    <w:rsid w:val="2573629D"/>
    <w:rsid w:val="257B7E43"/>
    <w:rsid w:val="257E4B14"/>
    <w:rsid w:val="257F631A"/>
    <w:rsid w:val="2581181F"/>
    <w:rsid w:val="258471C2"/>
    <w:rsid w:val="258B7C76"/>
    <w:rsid w:val="259D492D"/>
    <w:rsid w:val="25A120E6"/>
    <w:rsid w:val="25A36C3A"/>
    <w:rsid w:val="25A62926"/>
    <w:rsid w:val="25A7022D"/>
    <w:rsid w:val="25AA772C"/>
    <w:rsid w:val="25BD0276"/>
    <w:rsid w:val="25E2513A"/>
    <w:rsid w:val="25F45922"/>
    <w:rsid w:val="25FD2F48"/>
    <w:rsid w:val="260419A0"/>
    <w:rsid w:val="262D4206"/>
    <w:rsid w:val="262E21CA"/>
    <w:rsid w:val="2650449B"/>
    <w:rsid w:val="26523500"/>
    <w:rsid w:val="2657371E"/>
    <w:rsid w:val="26713F63"/>
    <w:rsid w:val="26753166"/>
    <w:rsid w:val="267C5A99"/>
    <w:rsid w:val="2682148D"/>
    <w:rsid w:val="26874807"/>
    <w:rsid w:val="268D22B5"/>
    <w:rsid w:val="269240CC"/>
    <w:rsid w:val="26955595"/>
    <w:rsid w:val="269A47B4"/>
    <w:rsid w:val="26CC2C30"/>
    <w:rsid w:val="26E269B0"/>
    <w:rsid w:val="26EC7F5B"/>
    <w:rsid w:val="27175BDC"/>
    <w:rsid w:val="271B5FAA"/>
    <w:rsid w:val="271E071C"/>
    <w:rsid w:val="272B00CD"/>
    <w:rsid w:val="27381EB7"/>
    <w:rsid w:val="27391B86"/>
    <w:rsid w:val="27504A85"/>
    <w:rsid w:val="275E5E47"/>
    <w:rsid w:val="27924AA1"/>
    <w:rsid w:val="27962E21"/>
    <w:rsid w:val="2796479F"/>
    <w:rsid w:val="279768B3"/>
    <w:rsid w:val="279A19EA"/>
    <w:rsid w:val="279C172C"/>
    <w:rsid w:val="27A565BD"/>
    <w:rsid w:val="27B169B4"/>
    <w:rsid w:val="27B911ED"/>
    <w:rsid w:val="27C54989"/>
    <w:rsid w:val="27D27F60"/>
    <w:rsid w:val="27E744FA"/>
    <w:rsid w:val="27E83986"/>
    <w:rsid w:val="27F44081"/>
    <w:rsid w:val="27F83B89"/>
    <w:rsid w:val="27FE146D"/>
    <w:rsid w:val="283A041C"/>
    <w:rsid w:val="283E36E3"/>
    <w:rsid w:val="284675E2"/>
    <w:rsid w:val="284E0B22"/>
    <w:rsid w:val="28543497"/>
    <w:rsid w:val="285964FE"/>
    <w:rsid w:val="28630B61"/>
    <w:rsid w:val="286C012F"/>
    <w:rsid w:val="28801A49"/>
    <w:rsid w:val="288A740B"/>
    <w:rsid w:val="289B5942"/>
    <w:rsid w:val="289F43E5"/>
    <w:rsid w:val="28B77612"/>
    <w:rsid w:val="28BB465F"/>
    <w:rsid w:val="28DD5583"/>
    <w:rsid w:val="28EA0128"/>
    <w:rsid w:val="28EE3B49"/>
    <w:rsid w:val="28FF185C"/>
    <w:rsid w:val="29012269"/>
    <w:rsid w:val="290B3CDD"/>
    <w:rsid w:val="291451AB"/>
    <w:rsid w:val="29157417"/>
    <w:rsid w:val="291E50DC"/>
    <w:rsid w:val="29285E0F"/>
    <w:rsid w:val="29324D22"/>
    <w:rsid w:val="293D797A"/>
    <w:rsid w:val="29505C1F"/>
    <w:rsid w:val="29516A39"/>
    <w:rsid w:val="29590599"/>
    <w:rsid w:val="295D585C"/>
    <w:rsid w:val="29632CC6"/>
    <w:rsid w:val="297158AB"/>
    <w:rsid w:val="29807966"/>
    <w:rsid w:val="298714AD"/>
    <w:rsid w:val="29C02FCD"/>
    <w:rsid w:val="29C10231"/>
    <w:rsid w:val="29C63807"/>
    <w:rsid w:val="29D82305"/>
    <w:rsid w:val="29EB45D3"/>
    <w:rsid w:val="29F940E1"/>
    <w:rsid w:val="2A0312F6"/>
    <w:rsid w:val="2A07685B"/>
    <w:rsid w:val="2A2569D8"/>
    <w:rsid w:val="2A2F7528"/>
    <w:rsid w:val="2A392EFC"/>
    <w:rsid w:val="2A3E46F3"/>
    <w:rsid w:val="2A5338A7"/>
    <w:rsid w:val="2A660CEE"/>
    <w:rsid w:val="2A7975D0"/>
    <w:rsid w:val="2A7B46D0"/>
    <w:rsid w:val="2A7E694A"/>
    <w:rsid w:val="2A7F12E2"/>
    <w:rsid w:val="2A88405F"/>
    <w:rsid w:val="2AC03F74"/>
    <w:rsid w:val="2ACD4D90"/>
    <w:rsid w:val="2ADC43C4"/>
    <w:rsid w:val="2AE07B98"/>
    <w:rsid w:val="2B0D7B3A"/>
    <w:rsid w:val="2B160173"/>
    <w:rsid w:val="2B17222B"/>
    <w:rsid w:val="2B1B36C2"/>
    <w:rsid w:val="2B262263"/>
    <w:rsid w:val="2B2D7A14"/>
    <w:rsid w:val="2B4701CA"/>
    <w:rsid w:val="2B62668E"/>
    <w:rsid w:val="2B7874BE"/>
    <w:rsid w:val="2B7A42C1"/>
    <w:rsid w:val="2B82668D"/>
    <w:rsid w:val="2B8F49BB"/>
    <w:rsid w:val="2BB75736"/>
    <w:rsid w:val="2BBA10FA"/>
    <w:rsid w:val="2BBF0C02"/>
    <w:rsid w:val="2BDD28EB"/>
    <w:rsid w:val="2BF43094"/>
    <w:rsid w:val="2BF909AA"/>
    <w:rsid w:val="2C0757B7"/>
    <w:rsid w:val="2C365068"/>
    <w:rsid w:val="2C4B5707"/>
    <w:rsid w:val="2C57786C"/>
    <w:rsid w:val="2C595430"/>
    <w:rsid w:val="2C660130"/>
    <w:rsid w:val="2C6B03A2"/>
    <w:rsid w:val="2C95017E"/>
    <w:rsid w:val="2C9B2015"/>
    <w:rsid w:val="2CA1010B"/>
    <w:rsid w:val="2CAE33C9"/>
    <w:rsid w:val="2CB9711D"/>
    <w:rsid w:val="2CD62921"/>
    <w:rsid w:val="2CF3363A"/>
    <w:rsid w:val="2D0009BD"/>
    <w:rsid w:val="2D000C25"/>
    <w:rsid w:val="2D0F4DB4"/>
    <w:rsid w:val="2D1F79A4"/>
    <w:rsid w:val="2D2D36A5"/>
    <w:rsid w:val="2D365B16"/>
    <w:rsid w:val="2D3D34A6"/>
    <w:rsid w:val="2D47011F"/>
    <w:rsid w:val="2D51670C"/>
    <w:rsid w:val="2D557C2D"/>
    <w:rsid w:val="2D5646DC"/>
    <w:rsid w:val="2D6D2070"/>
    <w:rsid w:val="2D9D0838"/>
    <w:rsid w:val="2DB652A4"/>
    <w:rsid w:val="2DB943B8"/>
    <w:rsid w:val="2DBB2419"/>
    <w:rsid w:val="2DBF7001"/>
    <w:rsid w:val="2DC26166"/>
    <w:rsid w:val="2DEA2F76"/>
    <w:rsid w:val="2DF041FF"/>
    <w:rsid w:val="2DF76E1B"/>
    <w:rsid w:val="2E0A69BF"/>
    <w:rsid w:val="2E0C1219"/>
    <w:rsid w:val="2E10357E"/>
    <w:rsid w:val="2E144C9C"/>
    <w:rsid w:val="2E177A17"/>
    <w:rsid w:val="2E1B30B3"/>
    <w:rsid w:val="2E1E59CA"/>
    <w:rsid w:val="2E3E487D"/>
    <w:rsid w:val="2E41360C"/>
    <w:rsid w:val="2E475DA4"/>
    <w:rsid w:val="2E607FBE"/>
    <w:rsid w:val="2E615CAF"/>
    <w:rsid w:val="2E64456A"/>
    <w:rsid w:val="2E7264C5"/>
    <w:rsid w:val="2E7653DE"/>
    <w:rsid w:val="2E784538"/>
    <w:rsid w:val="2E7B7058"/>
    <w:rsid w:val="2E842882"/>
    <w:rsid w:val="2E8C6A3D"/>
    <w:rsid w:val="2EB508B8"/>
    <w:rsid w:val="2EC45F4F"/>
    <w:rsid w:val="2ED06B9A"/>
    <w:rsid w:val="2ED71BB4"/>
    <w:rsid w:val="2EDB413D"/>
    <w:rsid w:val="2F04472C"/>
    <w:rsid w:val="2F066396"/>
    <w:rsid w:val="2F1835B8"/>
    <w:rsid w:val="2F184426"/>
    <w:rsid w:val="2F2655A5"/>
    <w:rsid w:val="2F2B2982"/>
    <w:rsid w:val="2F30138F"/>
    <w:rsid w:val="2F4B573E"/>
    <w:rsid w:val="2F5628C1"/>
    <w:rsid w:val="2F5A61EE"/>
    <w:rsid w:val="2F6E6218"/>
    <w:rsid w:val="2F81781A"/>
    <w:rsid w:val="2FBA6AB0"/>
    <w:rsid w:val="2FDA5233"/>
    <w:rsid w:val="2FDA56AD"/>
    <w:rsid w:val="2FDC3277"/>
    <w:rsid w:val="30091058"/>
    <w:rsid w:val="30186987"/>
    <w:rsid w:val="302E6035"/>
    <w:rsid w:val="30396B3B"/>
    <w:rsid w:val="303B5C37"/>
    <w:rsid w:val="303D3D8D"/>
    <w:rsid w:val="30410449"/>
    <w:rsid w:val="304B34C7"/>
    <w:rsid w:val="304F51A4"/>
    <w:rsid w:val="30687159"/>
    <w:rsid w:val="306F3884"/>
    <w:rsid w:val="307953E8"/>
    <w:rsid w:val="307B44AD"/>
    <w:rsid w:val="30907ADE"/>
    <w:rsid w:val="30926BF6"/>
    <w:rsid w:val="309A0DD7"/>
    <w:rsid w:val="309A76B3"/>
    <w:rsid w:val="309B06AC"/>
    <w:rsid w:val="30A61A4B"/>
    <w:rsid w:val="30AE1C64"/>
    <w:rsid w:val="30C02678"/>
    <w:rsid w:val="30D06AF0"/>
    <w:rsid w:val="30DC1248"/>
    <w:rsid w:val="30E16401"/>
    <w:rsid w:val="30F760DD"/>
    <w:rsid w:val="310500E0"/>
    <w:rsid w:val="31405015"/>
    <w:rsid w:val="31537EEC"/>
    <w:rsid w:val="315E7D16"/>
    <w:rsid w:val="316F0F32"/>
    <w:rsid w:val="31736100"/>
    <w:rsid w:val="31773981"/>
    <w:rsid w:val="3182709C"/>
    <w:rsid w:val="31842F7F"/>
    <w:rsid w:val="318A4231"/>
    <w:rsid w:val="318E2782"/>
    <w:rsid w:val="319C4759"/>
    <w:rsid w:val="319C6FC9"/>
    <w:rsid w:val="31EF357C"/>
    <w:rsid w:val="31FF09AE"/>
    <w:rsid w:val="3205097C"/>
    <w:rsid w:val="32081170"/>
    <w:rsid w:val="320C3878"/>
    <w:rsid w:val="32110C25"/>
    <w:rsid w:val="32114E7D"/>
    <w:rsid w:val="3219245E"/>
    <w:rsid w:val="32257FD7"/>
    <w:rsid w:val="323677EC"/>
    <w:rsid w:val="323827BE"/>
    <w:rsid w:val="32495754"/>
    <w:rsid w:val="324B3D08"/>
    <w:rsid w:val="32502547"/>
    <w:rsid w:val="32541D1E"/>
    <w:rsid w:val="32595004"/>
    <w:rsid w:val="32605AA8"/>
    <w:rsid w:val="32615E04"/>
    <w:rsid w:val="326849A2"/>
    <w:rsid w:val="326B0F6E"/>
    <w:rsid w:val="328126D8"/>
    <w:rsid w:val="32996BB0"/>
    <w:rsid w:val="32A04DB4"/>
    <w:rsid w:val="32AD00CE"/>
    <w:rsid w:val="32B9541F"/>
    <w:rsid w:val="32BF1468"/>
    <w:rsid w:val="32D07FAA"/>
    <w:rsid w:val="32D40497"/>
    <w:rsid w:val="32DE0BF1"/>
    <w:rsid w:val="32E158F1"/>
    <w:rsid w:val="32E5677D"/>
    <w:rsid w:val="330301A0"/>
    <w:rsid w:val="33031007"/>
    <w:rsid w:val="330A1B9B"/>
    <w:rsid w:val="330C77B6"/>
    <w:rsid w:val="331A0228"/>
    <w:rsid w:val="332B32E7"/>
    <w:rsid w:val="33341058"/>
    <w:rsid w:val="333C4070"/>
    <w:rsid w:val="33652BA0"/>
    <w:rsid w:val="338032CF"/>
    <w:rsid w:val="33870D2A"/>
    <w:rsid w:val="33995B41"/>
    <w:rsid w:val="339F3BDD"/>
    <w:rsid w:val="33A54598"/>
    <w:rsid w:val="33A9773C"/>
    <w:rsid w:val="33E93AE7"/>
    <w:rsid w:val="33FB47B2"/>
    <w:rsid w:val="33FE062C"/>
    <w:rsid w:val="340D123D"/>
    <w:rsid w:val="340D402A"/>
    <w:rsid w:val="34117F4A"/>
    <w:rsid w:val="34157A69"/>
    <w:rsid w:val="341A32AC"/>
    <w:rsid w:val="342F04EE"/>
    <w:rsid w:val="343278F3"/>
    <w:rsid w:val="343773FE"/>
    <w:rsid w:val="344314AC"/>
    <w:rsid w:val="344352BB"/>
    <w:rsid w:val="345F13D2"/>
    <w:rsid w:val="346614E2"/>
    <w:rsid w:val="346F44E7"/>
    <w:rsid w:val="3477121B"/>
    <w:rsid w:val="348A07C0"/>
    <w:rsid w:val="349E74CF"/>
    <w:rsid w:val="34BC5B3B"/>
    <w:rsid w:val="34C33940"/>
    <w:rsid w:val="34CE5612"/>
    <w:rsid w:val="34D55580"/>
    <w:rsid w:val="34DA288E"/>
    <w:rsid w:val="34E07C21"/>
    <w:rsid w:val="34E11C57"/>
    <w:rsid w:val="34E43EEA"/>
    <w:rsid w:val="34F14865"/>
    <w:rsid w:val="34F445A8"/>
    <w:rsid w:val="34F47C15"/>
    <w:rsid w:val="34F540BD"/>
    <w:rsid w:val="34FF3C2C"/>
    <w:rsid w:val="35063B46"/>
    <w:rsid w:val="351C3CD0"/>
    <w:rsid w:val="352F1E92"/>
    <w:rsid w:val="353763F9"/>
    <w:rsid w:val="353B6682"/>
    <w:rsid w:val="353C79F3"/>
    <w:rsid w:val="353F5F9A"/>
    <w:rsid w:val="354D44F6"/>
    <w:rsid w:val="35600779"/>
    <w:rsid w:val="35645586"/>
    <w:rsid w:val="356B79DE"/>
    <w:rsid w:val="3581198D"/>
    <w:rsid w:val="35843E04"/>
    <w:rsid w:val="35866FAD"/>
    <w:rsid w:val="35976ED7"/>
    <w:rsid w:val="35980087"/>
    <w:rsid w:val="35B3142E"/>
    <w:rsid w:val="35B45E55"/>
    <w:rsid w:val="35B543C3"/>
    <w:rsid w:val="35B84DAB"/>
    <w:rsid w:val="35C52894"/>
    <w:rsid w:val="35E92FD2"/>
    <w:rsid w:val="35EA0FD5"/>
    <w:rsid w:val="35F036ED"/>
    <w:rsid w:val="35F11C61"/>
    <w:rsid w:val="35F50D12"/>
    <w:rsid w:val="35FB5BA7"/>
    <w:rsid w:val="36011523"/>
    <w:rsid w:val="36021E5F"/>
    <w:rsid w:val="36247A40"/>
    <w:rsid w:val="362A0DEB"/>
    <w:rsid w:val="36327AC4"/>
    <w:rsid w:val="3634601F"/>
    <w:rsid w:val="36496AF6"/>
    <w:rsid w:val="36547421"/>
    <w:rsid w:val="365A705F"/>
    <w:rsid w:val="367251E5"/>
    <w:rsid w:val="36903B9D"/>
    <w:rsid w:val="3696078B"/>
    <w:rsid w:val="369A723E"/>
    <w:rsid w:val="369C5F08"/>
    <w:rsid w:val="369E27EA"/>
    <w:rsid w:val="36A04C6E"/>
    <w:rsid w:val="36C03B4D"/>
    <w:rsid w:val="36C301B0"/>
    <w:rsid w:val="36C40C39"/>
    <w:rsid w:val="36C95739"/>
    <w:rsid w:val="36D948F3"/>
    <w:rsid w:val="36DE6128"/>
    <w:rsid w:val="36E735CF"/>
    <w:rsid w:val="36FD0B04"/>
    <w:rsid w:val="370275A1"/>
    <w:rsid w:val="3717521E"/>
    <w:rsid w:val="37175E83"/>
    <w:rsid w:val="37215EFD"/>
    <w:rsid w:val="372E3F88"/>
    <w:rsid w:val="372F7F54"/>
    <w:rsid w:val="374754B1"/>
    <w:rsid w:val="374E45F3"/>
    <w:rsid w:val="375D3526"/>
    <w:rsid w:val="37624933"/>
    <w:rsid w:val="377870D5"/>
    <w:rsid w:val="378C7B63"/>
    <w:rsid w:val="379E4EC0"/>
    <w:rsid w:val="37A0093C"/>
    <w:rsid w:val="37A86561"/>
    <w:rsid w:val="37AC58D2"/>
    <w:rsid w:val="37AE7163"/>
    <w:rsid w:val="37C01AB5"/>
    <w:rsid w:val="37C409FA"/>
    <w:rsid w:val="37C8480D"/>
    <w:rsid w:val="37CB5E71"/>
    <w:rsid w:val="37EF4A8C"/>
    <w:rsid w:val="38107733"/>
    <w:rsid w:val="381200AE"/>
    <w:rsid w:val="3840510C"/>
    <w:rsid w:val="38525EC8"/>
    <w:rsid w:val="385C6D7B"/>
    <w:rsid w:val="385F25BB"/>
    <w:rsid w:val="386312E6"/>
    <w:rsid w:val="386609E8"/>
    <w:rsid w:val="387B2A25"/>
    <w:rsid w:val="38883DBF"/>
    <w:rsid w:val="38933FD6"/>
    <w:rsid w:val="389532F2"/>
    <w:rsid w:val="38A0575D"/>
    <w:rsid w:val="38B236B0"/>
    <w:rsid w:val="38B577A9"/>
    <w:rsid w:val="38B74C05"/>
    <w:rsid w:val="38CC421D"/>
    <w:rsid w:val="38D16635"/>
    <w:rsid w:val="38D373E7"/>
    <w:rsid w:val="38F53835"/>
    <w:rsid w:val="38FA57F0"/>
    <w:rsid w:val="390E100A"/>
    <w:rsid w:val="39355B41"/>
    <w:rsid w:val="3936186D"/>
    <w:rsid w:val="393B6729"/>
    <w:rsid w:val="3941349E"/>
    <w:rsid w:val="39514E0B"/>
    <w:rsid w:val="39566F53"/>
    <w:rsid w:val="395941C6"/>
    <w:rsid w:val="397905D6"/>
    <w:rsid w:val="3986126F"/>
    <w:rsid w:val="39864DE3"/>
    <w:rsid w:val="39883EA5"/>
    <w:rsid w:val="399D5638"/>
    <w:rsid w:val="39B41C18"/>
    <w:rsid w:val="39B653E7"/>
    <w:rsid w:val="39B85B57"/>
    <w:rsid w:val="39C538F9"/>
    <w:rsid w:val="39C828C6"/>
    <w:rsid w:val="39D31839"/>
    <w:rsid w:val="39D51F97"/>
    <w:rsid w:val="39D7425E"/>
    <w:rsid w:val="39E76BD3"/>
    <w:rsid w:val="3A0B3CA2"/>
    <w:rsid w:val="3A255D6F"/>
    <w:rsid w:val="3A291776"/>
    <w:rsid w:val="3A4215EC"/>
    <w:rsid w:val="3A43382A"/>
    <w:rsid w:val="3A472CE0"/>
    <w:rsid w:val="3A4B4D4F"/>
    <w:rsid w:val="3A51108A"/>
    <w:rsid w:val="3A5C2A31"/>
    <w:rsid w:val="3A604CCB"/>
    <w:rsid w:val="3A6711EA"/>
    <w:rsid w:val="3A671BFD"/>
    <w:rsid w:val="3A6B021B"/>
    <w:rsid w:val="3A6C27C7"/>
    <w:rsid w:val="3A795855"/>
    <w:rsid w:val="3A7D78F3"/>
    <w:rsid w:val="3A7E7CFE"/>
    <w:rsid w:val="3A816547"/>
    <w:rsid w:val="3AB03D58"/>
    <w:rsid w:val="3AD049E5"/>
    <w:rsid w:val="3AF31112"/>
    <w:rsid w:val="3AF71C4F"/>
    <w:rsid w:val="3B081792"/>
    <w:rsid w:val="3B0C28E2"/>
    <w:rsid w:val="3B211160"/>
    <w:rsid w:val="3B325752"/>
    <w:rsid w:val="3B352723"/>
    <w:rsid w:val="3B373B06"/>
    <w:rsid w:val="3B38435F"/>
    <w:rsid w:val="3B4113F9"/>
    <w:rsid w:val="3B4607AB"/>
    <w:rsid w:val="3B5A14DA"/>
    <w:rsid w:val="3B5B2A34"/>
    <w:rsid w:val="3B696D3C"/>
    <w:rsid w:val="3B6E2308"/>
    <w:rsid w:val="3B700B9E"/>
    <w:rsid w:val="3B7A70C3"/>
    <w:rsid w:val="3B7C5190"/>
    <w:rsid w:val="3B8C568A"/>
    <w:rsid w:val="3B8C6B52"/>
    <w:rsid w:val="3B9265F7"/>
    <w:rsid w:val="3BA24F6A"/>
    <w:rsid w:val="3BB36501"/>
    <w:rsid w:val="3BBA1B6C"/>
    <w:rsid w:val="3BC10F8A"/>
    <w:rsid w:val="3BCA0430"/>
    <w:rsid w:val="3BCA46DA"/>
    <w:rsid w:val="3C0B517A"/>
    <w:rsid w:val="3C0D7BA2"/>
    <w:rsid w:val="3C1464E6"/>
    <w:rsid w:val="3C1F3B0A"/>
    <w:rsid w:val="3C205B8C"/>
    <w:rsid w:val="3C2B04DC"/>
    <w:rsid w:val="3C2F5079"/>
    <w:rsid w:val="3C4B63F8"/>
    <w:rsid w:val="3C7C5EFC"/>
    <w:rsid w:val="3C820BF8"/>
    <w:rsid w:val="3C9D78A4"/>
    <w:rsid w:val="3CAC12EC"/>
    <w:rsid w:val="3CB974FB"/>
    <w:rsid w:val="3CD46E85"/>
    <w:rsid w:val="3CE21B20"/>
    <w:rsid w:val="3CFF2A56"/>
    <w:rsid w:val="3D0538C6"/>
    <w:rsid w:val="3D083C3D"/>
    <w:rsid w:val="3D0F0BF5"/>
    <w:rsid w:val="3D254DA7"/>
    <w:rsid w:val="3D367754"/>
    <w:rsid w:val="3D43371B"/>
    <w:rsid w:val="3D4C353F"/>
    <w:rsid w:val="3D4D01FD"/>
    <w:rsid w:val="3D533FE2"/>
    <w:rsid w:val="3D8116F1"/>
    <w:rsid w:val="3D842DB5"/>
    <w:rsid w:val="3D927E3F"/>
    <w:rsid w:val="3D99342D"/>
    <w:rsid w:val="3D9D6E8A"/>
    <w:rsid w:val="3DB623DC"/>
    <w:rsid w:val="3DBC2131"/>
    <w:rsid w:val="3DD03BFA"/>
    <w:rsid w:val="3DD76D85"/>
    <w:rsid w:val="3DD83ABF"/>
    <w:rsid w:val="3DDA437C"/>
    <w:rsid w:val="3DEE4CC1"/>
    <w:rsid w:val="3DF461A3"/>
    <w:rsid w:val="3DF94195"/>
    <w:rsid w:val="3E012B6B"/>
    <w:rsid w:val="3E0B6234"/>
    <w:rsid w:val="3E1516BF"/>
    <w:rsid w:val="3E211CFD"/>
    <w:rsid w:val="3E4C3E35"/>
    <w:rsid w:val="3E535C24"/>
    <w:rsid w:val="3E570308"/>
    <w:rsid w:val="3E600BB4"/>
    <w:rsid w:val="3E8A2129"/>
    <w:rsid w:val="3E8C3990"/>
    <w:rsid w:val="3E917B3F"/>
    <w:rsid w:val="3EB37670"/>
    <w:rsid w:val="3ECD5D56"/>
    <w:rsid w:val="3ECD79B7"/>
    <w:rsid w:val="3ED72492"/>
    <w:rsid w:val="3EDA4D3F"/>
    <w:rsid w:val="3EED7085"/>
    <w:rsid w:val="3EFA21FA"/>
    <w:rsid w:val="3F0651F8"/>
    <w:rsid w:val="3F0B745A"/>
    <w:rsid w:val="3F1708AB"/>
    <w:rsid w:val="3F1A7616"/>
    <w:rsid w:val="3F305658"/>
    <w:rsid w:val="3F4C1C29"/>
    <w:rsid w:val="3F545C32"/>
    <w:rsid w:val="3F8A3D39"/>
    <w:rsid w:val="3F8D0174"/>
    <w:rsid w:val="3F966B9F"/>
    <w:rsid w:val="3F987717"/>
    <w:rsid w:val="3FA55C83"/>
    <w:rsid w:val="3FC551B7"/>
    <w:rsid w:val="3FC92BDE"/>
    <w:rsid w:val="3FD23300"/>
    <w:rsid w:val="3FF47042"/>
    <w:rsid w:val="3FF54785"/>
    <w:rsid w:val="3FFB4326"/>
    <w:rsid w:val="3FFC0AB7"/>
    <w:rsid w:val="3FFF0B26"/>
    <w:rsid w:val="4015659C"/>
    <w:rsid w:val="401D268F"/>
    <w:rsid w:val="40327B82"/>
    <w:rsid w:val="403D5DB4"/>
    <w:rsid w:val="40444047"/>
    <w:rsid w:val="40452250"/>
    <w:rsid w:val="404D460E"/>
    <w:rsid w:val="40501155"/>
    <w:rsid w:val="405229A9"/>
    <w:rsid w:val="405C35C7"/>
    <w:rsid w:val="407E4D25"/>
    <w:rsid w:val="409E45E2"/>
    <w:rsid w:val="40A52125"/>
    <w:rsid w:val="40B61FF8"/>
    <w:rsid w:val="40BB734D"/>
    <w:rsid w:val="40BD43A8"/>
    <w:rsid w:val="40BD702F"/>
    <w:rsid w:val="40C40C6F"/>
    <w:rsid w:val="40C7171A"/>
    <w:rsid w:val="40CD4E0B"/>
    <w:rsid w:val="40D2023E"/>
    <w:rsid w:val="40D724A1"/>
    <w:rsid w:val="40DD614D"/>
    <w:rsid w:val="40E72D37"/>
    <w:rsid w:val="40FE6CAA"/>
    <w:rsid w:val="411C7865"/>
    <w:rsid w:val="411D4155"/>
    <w:rsid w:val="412A1DFC"/>
    <w:rsid w:val="412D2B6A"/>
    <w:rsid w:val="414141BA"/>
    <w:rsid w:val="415A1391"/>
    <w:rsid w:val="415E5B0A"/>
    <w:rsid w:val="418B295F"/>
    <w:rsid w:val="41945CF4"/>
    <w:rsid w:val="41965A41"/>
    <w:rsid w:val="41970D49"/>
    <w:rsid w:val="41B92A4F"/>
    <w:rsid w:val="41C964B4"/>
    <w:rsid w:val="41F92ABD"/>
    <w:rsid w:val="41FC1B6A"/>
    <w:rsid w:val="41FF2BF3"/>
    <w:rsid w:val="42125B2B"/>
    <w:rsid w:val="424D1C7F"/>
    <w:rsid w:val="425846A6"/>
    <w:rsid w:val="42624E34"/>
    <w:rsid w:val="427F218F"/>
    <w:rsid w:val="42840AD6"/>
    <w:rsid w:val="428B63CF"/>
    <w:rsid w:val="42911805"/>
    <w:rsid w:val="429A2964"/>
    <w:rsid w:val="42AF67D0"/>
    <w:rsid w:val="42BC0E70"/>
    <w:rsid w:val="42C245CE"/>
    <w:rsid w:val="42C27D1A"/>
    <w:rsid w:val="42C80ECA"/>
    <w:rsid w:val="42DD0E52"/>
    <w:rsid w:val="42DD3CD5"/>
    <w:rsid w:val="43055EB8"/>
    <w:rsid w:val="431627BC"/>
    <w:rsid w:val="431A0C24"/>
    <w:rsid w:val="431A5591"/>
    <w:rsid w:val="431B1E13"/>
    <w:rsid w:val="43312904"/>
    <w:rsid w:val="43376426"/>
    <w:rsid w:val="434E1C20"/>
    <w:rsid w:val="43620283"/>
    <w:rsid w:val="4363286E"/>
    <w:rsid w:val="436928BF"/>
    <w:rsid w:val="4370065F"/>
    <w:rsid w:val="43963A25"/>
    <w:rsid w:val="4398403A"/>
    <w:rsid w:val="43A73BE3"/>
    <w:rsid w:val="43AE7A7E"/>
    <w:rsid w:val="43B470F6"/>
    <w:rsid w:val="43CF502D"/>
    <w:rsid w:val="43CF6F11"/>
    <w:rsid w:val="43F047E0"/>
    <w:rsid w:val="43FD6F00"/>
    <w:rsid w:val="440B02B4"/>
    <w:rsid w:val="44123DA4"/>
    <w:rsid w:val="441C5080"/>
    <w:rsid w:val="44233849"/>
    <w:rsid w:val="445B0426"/>
    <w:rsid w:val="44633603"/>
    <w:rsid w:val="44680AA6"/>
    <w:rsid w:val="446B500C"/>
    <w:rsid w:val="446E17AC"/>
    <w:rsid w:val="448508DF"/>
    <w:rsid w:val="448D7707"/>
    <w:rsid w:val="44A6656A"/>
    <w:rsid w:val="44BA3544"/>
    <w:rsid w:val="44BF18A2"/>
    <w:rsid w:val="44C345DC"/>
    <w:rsid w:val="44CE2123"/>
    <w:rsid w:val="44E23735"/>
    <w:rsid w:val="44EA77F7"/>
    <w:rsid w:val="45142C62"/>
    <w:rsid w:val="45357785"/>
    <w:rsid w:val="45387766"/>
    <w:rsid w:val="453A760F"/>
    <w:rsid w:val="453B3627"/>
    <w:rsid w:val="45461B58"/>
    <w:rsid w:val="45491A3E"/>
    <w:rsid w:val="45503B28"/>
    <w:rsid w:val="45620AD7"/>
    <w:rsid w:val="45853082"/>
    <w:rsid w:val="45891F3C"/>
    <w:rsid w:val="4590274A"/>
    <w:rsid w:val="45B276B2"/>
    <w:rsid w:val="45C0276F"/>
    <w:rsid w:val="45C14774"/>
    <w:rsid w:val="45DB6A4C"/>
    <w:rsid w:val="45DE4D7D"/>
    <w:rsid w:val="45EF2628"/>
    <w:rsid w:val="45EF3C1C"/>
    <w:rsid w:val="45FD0891"/>
    <w:rsid w:val="460C7309"/>
    <w:rsid w:val="46185D52"/>
    <w:rsid w:val="461D0E0F"/>
    <w:rsid w:val="462C285E"/>
    <w:rsid w:val="462E09E1"/>
    <w:rsid w:val="4639249F"/>
    <w:rsid w:val="463A0304"/>
    <w:rsid w:val="46483274"/>
    <w:rsid w:val="46497341"/>
    <w:rsid w:val="464A4975"/>
    <w:rsid w:val="465961E8"/>
    <w:rsid w:val="467C2D95"/>
    <w:rsid w:val="4695468D"/>
    <w:rsid w:val="469A6A31"/>
    <w:rsid w:val="46D95B7D"/>
    <w:rsid w:val="471553B4"/>
    <w:rsid w:val="47170524"/>
    <w:rsid w:val="471E6457"/>
    <w:rsid w:val="474C2F9B"/>
    <w:rsid w:val="475D0FD8"/>
    <w:rsid w:val="475F6267"/>
    <w:rsid w:val="4760207C"/>
    <w:rsid w:val="47743C9D"/>
    <w:rsid w:val="477F20C3"/>
    <w:rsid w:val="47906F17"/>
    <w:rsid w:val="47962F99"/>
    <w:rsid w:val="479A7A31"/>
    <w:rsid w:val="479B1699"/>
    <w:rsid w:val="47AA2928"/>
    <w:rsid w:val="47AF51BF"/>
    <w:rsid w:val="47B81E12"/>
    <w:rsid w:val="47BE42FB"/>
    <w:rsid w:val="47C87B80"/>
    <w:rsid w:val="47C937E9"/>
    <w:rsid w:val="47C97066"/>
    <w:rsid w:val="47D03B18"/>
    <w:rsid w:val="47DB1D58"/>
    <w:rsid w:val="47ED29D3"/>
    <w:rsid w:val="47EF74A3"/>
    <w:rsid w:val="47F50C9B"/>
    <w:rsid w:val="48047968"/>
    <w:rsid w:val="480C0327"/>
    <w:rsid w:val="48100B65"/>
    <w:rsid w:val="4834394A"/>
    <w:rsid w:val="484B1470"/>
    <w:rsid w:val="485A65F3"/>
    <w:rsid w:val="48654955"/>
    <w:rsid w:val="48812277"/>
    <w:rsid w:val="488C20FF"/>
    <w:rsid w:val="48987720"/>
    <w:rsid w:val="48AA0D47"/>
    <w:rsid w:val="48AB437A"/>
    <w:rsid w:val="48BB5E99"/>
    <w:rsid w:val="48C42A3E"/>
    <w:rsid w:val="48CB567F"/>
    <w:rsid w:val="48E709AB"/>
    <w:rsid w:val="49074129"/>
    <w:rsid w:val="491E413A"/>
    <w:rsid w:val="492B5D1A"/>
    <w:rsid w:val="492E0653"/>
    <w:rsid w:val="49356195"/>
    <w:rsid w:val="493E72F4"/>
    <w:rsid w:val="49477CA3"/>
    <w:rsid w:val="4950278B"/>
    <w:rsid w:val="495D4FB7"/>
    <w:rsid w:val="495E6CC9"/>
    <w:rsid w:val="495F0F47"/>
    <w:rsid w:val="497378EC"/>
    <w:rsid w:val="49850611"/>
    <w:rsid w:val="499E6A18"/>
    <w:rsid w:val="49CA6D55"/>
    <w:rsid w:val="49D60BB0"/>
    <w:rsid w:val="49E47F0A"/>
    <w:rsid w:val="49FA45E7"/>
    <w:rsid w:val="4A003BBD"/>
    <w:rsid w:val="4A021D46"/>
    <w:rsid w:val="4A221E06"/>
    <w:rsid w:val="4A2C05A1"/>
    <w:rsid w:val="4A487A49"/>
    <w:rsid w:val="4A573BC6"/>
    <w:rsid w:val="4A661827"/>
    <w:rsid w:val="4A685CDC"/>
    <w:rsid w:val="4A6C7442"/>
    <w:rsid w:val="4A6E5FE8"/>
    <w:rsid w:val="4A794A5A"/>
    <w:rsid w:val="4A8D326D"/>
    <w:rsid w:val="4AAC7675"/>
    <w:rsid w:val="4ABB4EEC"/>
    <w:rsid w:val="4ABE4002"/>
    <w:rsid w:val="4AD3789D"/>
    <w:rsid w:val="4AE61558"/>
    <w:rsid w:val="4AE629A4"/>
    <w:rsid w:val="4AE71746"/>
    <w:rsid w:val="4AED326F"/>
    <w:rsid w:val="4AF93679"/>
    <w:rsid w:val="4B021885"/>
    <w:rsid w:val="4B0462D8"/>
    <w:rsid w:val="4B1163B5"/>
    <w:rsid w:val="4B1E0386"/>
    <w:rsid w:val="4B2A725A"/>
    <w:rsid w:val="4B2D27E3"/>
    <w:rsid w:val="4B327DA5"/>
    <w:rsid w:val="4B483ECE"/>
    <w:rsid w:val="4B4D5DE5"/>
    <w:rsid w:val="4B53713F"/>
    <w:rsid w:val="4B58385A"/>
    <w:rsid w:val="4B5918B4"/>
    <w:rsid w:val="4B5E178B"/>
    <w:rsid w:val="4B7D53C9"/>
    <w:rsid w:val="4B7E695E"/>
    <w:rsid w:val="4B85293F"/>
    <w:rsid w:val="4B8C7452"/>
    <w:rsid w:val="4B902502"/>
    <w:rsid w:val="4B9B344B"/>
    <w:rsid w:val="4BA41F5F"/>
    <w:rsid w:val="4BAA16FB"/>
    <w:rsid w:val="4BBE2F08"/>
    <w:rsid w:val="4BD56E97"/>
    <w:rsid w:val="4BDB55FA"/>
    <w:rsid w:val="4BF55F0B"/>
    <w:rsid w:val="4BF74ED8"/>
    <w:rsid w:val="4BFA030B"/>
    <w:rsid w:val="4C09252B"/>
    <w:rsid w:val="4C1713D3"/>
    <w:rsid w:val="4C3D55C6"/>
    <w:rsid w:val="4C427E43"/>
    <w:rsid w:val="4C4F261E"/>
    <w:rsid w:val="4C5962D9"/>
    <w:rsid w:val="4C5C6507"/>
    <w:rsid w:val="4C5E4F57"/>
    <w:rsid w:val="4C667A5B"/>
    <w:rsid w:val="4C687F40"/>
    <w:rsid w:val="4C823BCA"/>
    <w:rsid w:val="4C8A7DE1"/>
    <w:rsid w:val="4C9F1330"/>
    <w:rsid w:val="4CAB3457"/>
    <w:rsid w:val="4CE266C3"/>
    <w:rsid w:val="4CEF017B"/>
    <w:rsid w:val="4CF124C7"/>
    <w:rsid w:val="4CF70170"/>
    <w:rsid w:val="4CFA619E"/>
    <w:rsid w:val="4CFD777A"/>
    <w:rsid w:val="4D201110"/>
    <w:rsid w:val="4D3431C7"/>
    <w:rsid w:val="4D3A38EE"/>
    <w:rsid w:val="4D3F69A4"/>
    <w:rsid w:val="4D526F59"/>
    <w:rsid w:val="4D650150"/>
    <w:rsid w:val="4D6E11CA"/>
    <w:rsid w:val="4DA653F2"/>
    <w:rsid w:val="4DCC74BE"/>
    <w:rsid w:val="4DE03AC2"/>
    <w:rsid w:val="4DEF02BD"/>
    <w:rsid w:val="4DF03991"/>
    <w:rsid w:val="4DF221E2"/>
    <w:rsid w:val="4E002256"/>
    <w:rsid w:val="4E052F0C"/>
    <w:rsid w:val="4E0911A0"/>
    <w:rsid w:val="4E0D72D8"/>
    <w:rsid w:val="4E1F24C4"/>
    <w:rsid w:val="4E2F0959"/>
    <w:rsid w:val="4E383ED6"/>
    <w:rsid w:val="4E5172B9"/>
    <w:rsid w:val="4E560D60"/>
    <w:rsid w:val="4E564593"/>
    <w:rsid w:val="4E5A2684"/>
    <w:rsid w:val="4E66521C"/>
    <w:rsid w:val="4E703F51"/>
    <w:rsid w:val="4E905710"/>
    <w:rsid w:val="4E942C0A"/>
    <w:rsid w:val="4E98220D"/>
    <w:rsid w:val="4EA02FF7"/>
    <w:rsid w:val="4EB7399D"/>
    <w:rsid w:val="4ECD2716"/>
    <w:rsid w:val="4EDA695D"/>
    <w:rsid w:val="4EE05B39"/>
    <w:rsid w:val="4EE54AFA"/>
    <w:rsid w:val="4EE73AF5"/>
    <w:rsid w:val="4EE84EA5"/>
    <w:rsid w:val="4EEE4AF5"/>
    <w:rsid w:val="4EF82E0F"/>
    <w:rsid w:val="4F0B544D"/>
    <w:rsid w:val="4F0E4A13"/>
    <w:rsid w:val="4F1E4B12"/>
    <w:rsid w:val="4F301FB1"/>
    <w:rsid w:val="4F3A2B02"/>
    <w:rsid w:val="4F4F7329"/>
    <w:rsid w:val="4F5260B5"/>
    <w:rsid w:val="4F560168"/>
    <w:rsid w:val="4F58224C"/>
    <w:rsid w:val="4F590A64"/>
    <w:rsid w:val="4F5A4045"/>
    <w:rsid w:val="4F5A7FFE"/>
    <w:rsid w:val="4F86143C"/>
    <w:rsid w:val="4F8B2726"/>
    <w:rsid w:val="4F8B4457"/>
    <w:rsid w:val="4F96196F"/>
    <w:rsid w:val="4FAE7560"/>
    <w:rsid w:val="4FB8672C"/>
    <w:rsid w:val="4FDA01F8"/>
    <w:rsid w:val="4FF1201A"/>
    <w:rsid w:val="4FF221C3"/>
    <w:rsid w:val="4FFA0634"/>
    <w:rsid w:val="500032A2"/>
    <w:rsid w:val="504C31A7"/>
    <w:rsid w:val="504E08AD"/>
    <w:rsid w:val="505C4D01"/>
    <w:rsid w:val="50654763"/>
    <w:rsid w:val="50664937"/>
    <w:rsid w:val="507419FE"/>
    <w:rsid w:val="507C7DBC"/>
    <w:rsid w:val="508A7F4D"/>
    <w:rsid w:val="508B1CA1"/>
    <w:rsid w:val="50A568E9"/>
    <w:rsid w:val="50AA168D"/>
    <w:rsid w:val="50AF4B30"/>
    <w:rsid w:val="50BC5CDC"/>
    <w:rsid w:val="50E21CB3"/>
    <w:rsid w:val="50E74C38"/>
    <w:rsid w:val="50E76F7B"/>
    <w:rsid w:val="50EB303A"/>
    <w:rsid w:val="51025571"/>
    <w:rsid w:val="510819A0"/>
    <w:rsid w:val="510C31D4"/>
    <w:rsid w:val="51141BF6"/>
    <w:rsid w:val="51184A15"/>
    <w:rsid w:val="511D1BC3"/>
    <w:rsid w:val="51200E5F"/>
    <w:rsid w:val="5123009E"/>
    <w:rsid w:val="512548E9"/>
    <w:rsid w:val="512C2CA7"/>
    <w:rsid w:val="512D289E"/>
    <w:rsid w:val="514152FB"/>
    <w:rsid w:val="51434ED1"/>
    <w:rsid w:val="51606C08"/>
    <w:rsid w:val="516445A0"/>
    <w:rsid w:val="51752B27"/>
    <w:rsid w:val="518353A4"/>
    <w:rsid w:val="518956A9"/>
    <w:rsid w:val="519F6ACE"/>
    <w:rsid w:val="51C83642"/>
    <w:rsid w:val="51DC3B47"/>
    <w:rsid w:val="52204D59"/>
    <w:rsid w:val="52490C2A"/>
    <w:rsid w:val="525505B5"/>
    <w:rsid w:val="52551CD7"/>
    <w:rsid w:val="5261544F"/>
    <w:rsid w:val="52675FFF"/>
    <w:rsid w:val="52B97B3D"/>
    <w:rsid w:val="52C504FB"/>
    <w:rsid w:val="52D50B77"/>
    <w:rsid w:val="52E13756"/>
    <w:rsid w:val="52E65840"/>
    <w:rsid w:val="52EF5C2D"/>
    <w:rsid w:val="52EF6429"/>
    <w:rsid w:val="52F061A9"/>
    <w:rsid w:val="52F171FD"/>
    <w:rsid w:val="52F47582"/>
    <w:rsid w:val="53354D0B"/>
    <w:rsid w:val="535837C3"/>
    <w:rsid w:val="5371534A"/>
    <w:rsid w:val="53720C63"/>
    <w:rsid w:val="53760DD8"/>
    <w:rsid w:val="537700D3"/>
    <w:rsid w:val="53811681"/>
    <w:rsid w:val="538A520F"/>
    <w:rsid w:val="538C6CFB"/>
    <w:rsid w:val="53933E3F"/>
    <w:rsid w:val="53A45110"/>
    <w:rsid w:val="53B418CC"/>
    <w:rsid w:val="53E421E6"/>
    <w:rsid w:val="53F32910"/>
    <w:rsid w:val="53F4098D"/>
    <w:rsid w:val="53FE04C8"/>
    <w:rsid w:val="540A36E6"/>
    <w:rsid w:val="540A49FF"/>
    <w:rsid w:val="54196F14"/>
    <w:rsid w:val="541F2E71"/>
    <w:rsid w:val="54206BE2"/>
    <w:rsid w:val="54297BB6"/>
    <w:rsid w:val="542A438F"/>
    <w:rsid w:val="54336DD4"/>
    <w:rsid w:val="543660C2"/>
    <w:rsid w:val="54375971"/>
    <w:rsid w:val="54453F00"/>
    <w:rsid w:val="544B34F5"/>
    <w:rsid w:val="544D196D"/>
    <w:rsid w:val="5478326E"/>
    <w:rsid w:val="547A48F8"/>
    <w:rsid w:val="547F6951"/>
    <w:rsid w:val="54854CE2"/>
    <w:rsid w:val="548965FC"/>
    <w:rsid w:val="549F015A"/>
    <w:rsid w:val="54AD1A5F"/>
    <w:rsid w:val="54AF4755"/>
    <w:rsid w:val="54C761C0"/>
    <w:rsid w:val="54D730B0"/>
    <w:rsid w:val="54DD1143"/>
    <w:rsid w:val="54E812EA"/>
    <w:rsid w:val="54F741A9"/>
    <w:rsid w:val="54F76B5C"/>
    <w:rsid w:val="55020A87"/>
    <w:rsid w:val="550341FE"/>
    <w:rsid w:val="55042014"/>
    <w:rsid w:val="550F1760"/>
    <w:rsid w:val="55210479"/>
    <w:rsid w:val="552A209A"/>
    <w:rsid w:val="55330F3B"/>
    <w:rsid w:val="55393BB8"/>
    <w:rsid w:val="55597050"/>
    <w:rsid w:val="55614C5E"/>
    <w:rsid w:val="556E6918"/>
    <w:rsid w:val="558C2621"/>
    <w:rsid w:val="55A0462E"/>
    <w:rsid w:val="55AA319D"/>
    <w:rsid w:val="55AD3652"/>
    <w:rsid w:val="55AE7B86"/>
    <w:rsid w:val="55B9606B"/>
    <w:rsid w:val="55DE0E54"/>
    <w:rsid w:val="55E20903"/>
    <w:rsid w:val="55E4027B"/>
    <w:rsid w:val="55E72AA0"/>
    <w:rsid w:val="55FF52A6"/>
    <w:rsid w:val="56061751"/>
    <w:rsid w:val="56095584"/>
    <w:rsid w:val="560E0C77"/>
    <w:rsid w:val="5633198E"/>
    <w:rsid w:val="563E5469"/>
    <w:rsid w:val="565F37E0"/>
    <w:rsid w:val="56600CBF"/>
    <w:rsid w:val="566755F7"/>
    <w:rsid w:val="56681618"/>
    <w:rsid w:val="566919C6"/>
    <w:rsid w:val="566C5546"/>
    <w:rsid w:val="56745BC9"/>
    <w:rsid w:val="56CF2CD9"/>
    <w:rsid w:val="56CF2CF8"/>
    <w:rsid w:val="56D50BC3"/>
    <w:rsid w:val="56E34EAC"/>
    <w:rsid w:val="570203D1"/>
    <w:rsid w:val="571159E3"/>
    <w:rsid w:val="571D3ABE"/>
    <w:rsid w:val="571F6B78"/>
    <w:rsid w:val="57477BC8"/>
    <w:rsid w:val="57503DCA"/>
    <w:rsid w:val="57535899"/>
    <w:rsid w:val="57645BA3"/>
    <w:rsid w:val="576A1B6C"/>
    <w:rsid w:val="57791B8E"/>
    <w:rsid w:val="5790678A"/>
    <w:rsid w:val="57936854"/>
    <w:rsid w:val="579848F6"/>
    <w:rsid w:val="57A22474"/>
    <w:rsid w:val="57AF0A2B"/>
    <w:rsid w:val="57BD64A8"/>
    <w:rsid w:val="57C023F1"/>
    <w:rsid w:val="57C14981"/>
    <w:rsid w:val="57C43A36"/>
    <w:rsid w:val="57CA4EFA"/>
    <w:rsid w:val="57D97A34"/>
    <w:rsid w:val="57F62116"/>
    <w:rsid w:val="58101705"/>
    <w:rsid w:val="58335AD6"/>
    <w:rsid w:val="583D18B3"/>
    <w:rsid w:val="584265A5"/>
    <w:rsid w:val="58463AA4"/>
    <w:rsid w:val="584B27B3"/>
    <w:rsid w:val="58705777"/>
    <w:rsid w:val="58707FAE"/>
    <w:rsid w:val="58895B35"/>
    <w:rsid w:val="58B93305"/>
    <w:rsid w:val="58C83D7C"/>
    <w:rsid w:val="58D50625"/>
    <w:rsid w:val="58E7744A"/>
    <w:rsid w:val="58FE099B"/>
    <w:rsid w:val="5909370D"/>
    <w:rsid w:val="590B71FB"/>
    <w:rsid w:val="590D48EB"/>
    <w:rsid w:val="591079E9"/>
    <w:rsid w:val="591F6282"/>
    <w:rsid w:val="59422514"/>
    <w:rsid w:val="59495353"/>
    <w:rsid w:val="595034F8"/>
    <w:rsid w:val="595D2922"/>
    <w:rsid w:val="59634E7E"/>
    <w:rsid w:val="597265E6"/>
    <w:rsid w:val="5973088E"/>
    <w:rsid w:val="59A85569"/>
    <w:rsid w:val="59A90DF6"/>
    <w:rsid w:val="59B8686F"/>
    <w:rsid w:val="59B86AAB"/>
    <w:rsid w:val="59BF5B8E"/>
    <w:rsid w:val="59D027D3"/>
    <w:rsid w:val="59DE0C7A"/>
    <w:rsid w:val="59E56D7C"/>
    <w:rsid w:val="59E974BE"/>
    <w:rsid w:val="59F04D56"/>
    <w:rsid w:val="59F23350"/>
    <w:rsid w:val="5A125C89"/>
    <w:rsid w:val="5A126729"/>
    <w:rsid w:val="5A1B211E"/>
    <w:rsid w:val="5A1C4D0F"/>
    <w:rsid w:val="5A4F7A61"/>
    <w:rsid w:val="5A647D5B"/>
    <w:rsid w:val="5A730419"/>
    <w:rsid w:val="5A991C8F"/>
    <w:rsid w:val="5AA026B8"/>
    <w:rsid w:val="5AA116D7"/>
    <w:rsid w:val="5AB321D6"/>
    <w:rsid w:val="5AB42CEF"/>
    <w:rsid w:val="5AB74F92"/>
    <w:rsid w:val="5ACB49E4"/>
    <w:rsid w:val="5ACC4B5A"/>
    <w:rsid w:val="5ACF398D"/>
    <w:rsid w:val="5AD261A6"/>
    <w:rsid w:val="5AE821DA"/>
    <w:rsid w:val="5AED557F"/>
    <w:rsid w:val="5AFD1904"/>
    <w:rsid w:val="5B0123E0"/>
    <w:rsid w:val="5B073454"/>
    <w:rsid w:val="5B20452B"/>
    <w:rsid w:val="5B2C0607"/>
    <w:rsid w:val="5B3034F1"/>
    <w:rsid w:val="5B424CC5"/>
    <w:rsid w:val="5B473097"/>
    <w:rsid w:val="5B63362E"/>
    <w:rsid w:val="5B731A53"/>
    <w:rsid w:val="5B755268"/>
    <w:rsid w:val="5B787102"/>
    <w:rsid w:val="5B79544A"/>
    <w:rsid w:val="5B9C2FC5"/>
    <w:rsid w:val="5BBC1172"/>
    <w:rsid w:val="5BC86521"/>
    <w:rsid w:val="5BCD3EA4"/>
    <w:rsid w:val="5C082709"/>
    <w:rsid w:val="5C14060C"/>
    <w:rsid w:val="5C2E582C"/>
    <w:rsid w:val="5C305498"/>
    <w:rsid w:val="5C372998"/>
    <w:rsid w:val="5C5A282E"/>
    <w:rsid w:val="5C7639BC"/>
    <w:rsid w:val="5C81534B"/>
    <w:rsid w:val="5C8C0864"/>
    <w:rsid w:val="5C907A9B"/>
    <w:rsid w:val="5C9A11AC"/>
    <w:rsid w:val="5CA65278"/>
    <w:rsid w:val="5CA80B46"/>
    <w:rsid w:val="5CB564CD"/>
    <w:rsid w:val="5CBC6260"/>
    <w:rsid w:val="5CCC12AD"/>
    <w:rsid w:val="5CD12F06"/>
    <w:rsid w:val="5CD41448"/>
    <w:rsid w:val="5CE74FA9"/>
    <w:rsid w:val="5CF7084F"/>
    <w:rsid w:val="5D147937"/>
    <w:rsid w:val="5D1634FA"/>
    <w:rsid w:val="5D2040EF"/>
    <w:rsid w:val="5D3321D2"/>
    <w:rsid w:val="5D447125"/>
    <w:rsid w:val="5D614E5A"/>
    <w:rsid w:val="5D6F0EA6"/>
    <w:rsid w:val="5D7A4EBD"/>
    <w:rsid w:val="5D7B2AFB"/>
    <w:rsid w:val="5D8C5C75"/>
    <w:rsid w:val="5D916123"/>
    <w:rsid w:val="5D9D4948"/>
    <w:rsid w:val="5DA07441"/>
    <w:rsid w:val="5DA30A1C"/>
    <w:rsid w:val="5DAB4981"/>
    <w:rsid w:val="5DAF2ED6"/>
    <w:rsid w:val="5DCD5EDE"/>
    <w:rsid w:val="5DDD01B0"/>
    <w:rsid w:val="5DE31BF8"/>
    <w:rsid w:val="5DEE4FE1"/>
    <w:rsid w:val="5DEE7E4B"/>
    <w:rsid w:val="5DF434DB"/>
    <w:rsid w:val="5E040F9B"/>
    <w:rsid w:val="5E163DAD"/>
    <w:rsid w:val="5E18199F"/>
    <w:rsid w:val="5E276BBA"/>
    <w:rsid w:val="5E4A3124"/>
    <w:rsid w:val="5E4A34BA"/>
    <w:rsid w:val="5E525F9E"/>
    <w:rsid w:val="5E555E36"/>
    <w:rsid w:val="5E572B7B"/>
    <w:rsid w:val="5E715DE0"/>
    <w:rsid w:val="5E817F26"/>
    <w:rsid w:val="5E993BCD"/>
    <w:rsid w:val="5EA248D0"/>
    <w:rsid w:val="5EC875D4"/>
    <w:rsid w:val="5ED929BD"/>
    <w:rsid w:val="5EDD61AF"/>
    <w:rsid w:val="5EEF44C3"/>
    <w:rsid w:val="5EF64B87"/>
    <w:rsid w:val="5EFE24CD"/>
    <w:rsid w:val="5EFE5752"/>
    <w:rsid w:val="5F1E02ED"/>
    <w:rsid w:val="5F5335CE"/>
    <w:rsid w:val="5F6123D2"/>
    <w:rsid w:val="5F7C6175"/>
    <w:rsid w:val="5F8C113D"/>
    <w:rsid w:val="5F9F1D72"/>
    <w:rsid w:val="5FA41C29"/>
    <w:rsid w:val="5FB55859"/>
    <w:rsid w:val="5FB74AC7"/>
    <w:rsid w:val="5FD1415C"/>
    <w:rsid w:val="5FDA5184"/>
    <w:rsid w:val="5FEE6A48"/>
    <w:rsid w:val="5FF46772"/>
    <w:rsid w:val="6028198E"/>
    <w:rsid w:val="602A2D2E"/>
    <w:rsid w:val="6060214E"/>
    <w:rsid w:val="6071387E"/>
    <w:rsid w:val="607207D7"/>
    <w:rsid w:val="607A75EB"/>
    <w:rsid w:val="60932B78"/>
    <w:rsid w:val="60B1182C"/>
    <w:rsid w:val="60B54E5F"/>
    <w:rsid w:val="60D67EB5"/>
    <w:rsid w:val="60E72435"/>
    <w:rsid w:val="60F12408"/>
    <w:rsid w:val="60F53DE8"/>
    <w:rsid w:val="60F915AE"/>
    <w:rsid w:val="61186844"/>
    <w:rsid w:val="61196AEE"/>
    <w:rsid w:val="612015DC"/>
    <w:rsid w:val="61202565"/>
    <w:rsid w:val="61386C42"/>
    <w:rsid w:val="613D3456"/>
    <w:rsid w:val="6161246C"/>
    <w:rsid w:val="616A09B6"/>
    <w:rsid w:val="617A09D3"/>
    <w:rsid w:val="617E2BD9"/>
    <w:rsid w:val="617E4052"/>
    <w:rsid w:val="61894B41"/>
    <w:rsid w:val="61A02A4C"/>
    <w:rsid w:val="61AB7F4F"/>
    <w:rsid w:val="61B7640D"/>
    <w:rsid w:val="61BA3500"/>
    <w:rsid w:val="61BC7327"/>
    <w:rsid w:val="61DB4C28"/>
    <w:rsid w:val="61DE2022"/>
    <w:rsid w:val="61F12BA4"/>
    <w:rsid w:val="61F1712C"/>
    <w:rsid w:val="61FC795F"/>
    <w:rsid w:val="61FE4473"/>
    <w:rsid w:val="622A0453"/>
    <w:rsid w:val="62421C3F"/>
    <w:rsid w:val="62554D7B"/>
    <w:rsid w:val="626339C2"/>
    <w:rsid w:val="627F361F"/>
    <w:rsid w:val="62870321"/>
    <w:rsid w:val="62892F39"/>
    <w:rsid w:val="62923CFF"/>
    <w:rsid w:val="62A52639"/>
    <w:rsid w:val="62A75796"/>
    <w:rsid w:val="62C313EC"/>
    <w:rsid w:val="62D2532D"/>
    <w:rsid w:val="62D32926"/>
    <w:rsid w:val="62EB1C80"/>
    <w:rsid w:val="62F64459"/>
    <w:rsid w:val="62F76E32"/>
    <w:rsid w:val="6306529F"/>
    <w:rsid w:val="63243088"/>
    <w:rsid w:val="632B7CB6"/>
    <w:rsid w:val="632D6A8C"/>
    <w:rsid w:val="63326075"/>
    <w:rsid w:val="63577595"/>
    <w:rsid w:val="635953C4"/>
    <w:rsid w:val="636203F5"/>
    <w:rsid w:val="636D1281"/>
    <w:rsid w:val="636F05B2"/>
    <w:rsid w:val="638B05E2"/>
    <w:rsid w:val="63921C8F"/>
    <w:rsid w:val="639E2FFF"/>
    <w:rsid w:val="63B35481"/>
    <w:rsid w:val="63C546CA"/>
    <w:rsid w:val="63C73189"/>
    <w:rsid w:val="63C80685"/>
    <w:rsid w:val="63D27A4E"/>
    <w:rsid w:val="63D43500"/>
    <w:rsid w:val="63FA6EBC"/>
    <w:rsid w:val="641B128B"/>
    <w:rsid w:val="642518C9"/>
    <w:rsid w:val="642628D8"/>
    <w:rsid w:val="643353CE"/>
    <w:rsid w:val="64463885"/>
    <w:rsid w:val="645573E6"/>
    <w:rsid w:val="646C6942"/>
    <w:rsid w:val="646D325D"/>
    <w:rsid w:val="648101EB"/>
    <w:rsid w:val="64857D65"/>
    <w:rsid w:val="648A5198"/>
    <w:rsid w:val="64BB3691"/>
    <w:rsid w:val="64C649E5"/>
    <w:rsid w:val="64C971FC"/>
    <w:rsid w:val="64CC1BEF"/>
    <w:rsid w:val="64CD22CB"/>
    <w:rsid w:val="64D17A33"/>
    <w:rsid w:val="64DB0DE6"/>
    <w:rsid w:val="65192F42"/>
    <w:rsid w:val="651C413F"/>
    <w:rsid w:val="651F176C"/>
    <w:rsid w:val="652354FE"/>
    <w:rsid w:val="65243799"/>
    <w:rsid w:val="652F0DE7"/>
    <w:rsid w:val="653730AD"/>
    <w:rsid w:val="65473BE4"/>
    <w:rsid w:val="654823B1"/>
    <w:rsid w:val="655D3F53"/>
    <w:rsid w:val="655E1C0E"/>
    <w:rsid w:val="65833318"/>
    <w:rsid w:val="658B7760"/>
    <w:rsid w:val="659514FA"/>
    <w:rsid w:val="659F4A38"/>
    <w:rsid w:val="65B4203E"/>
    <w:rsid w:val="65C562C1"/>
    <w:rsid w:val="65DA30E2"/>
    <w:rsid w:val="65E419EA"/>
    <w:rsid w:val="65EC5F5D"/>
    <w:rsid w:val="65ED6121"/>
    <w:rsid w:val="65EE7177"/>
    <w:rsid w:val="660D737A"/>
    <w:rsid w:val="6635457B"/>
    <w:rsid w:val="663743A7"/>
    <w:rsid w:val="663B78CC"/>
    <w:rsid w:val="664C4D93"/>
    <w:rsid w:val="66645598"/>
    <w:rsid w:val="66713242"/>
    <w:rsid w:val="66A57E71"/>
    <w:rsid w:val="66A76320"/>
    <w:rsid w:val="66BD4460"/>
    <w:rsid w:val="66BD4681"/>
    <w:rsid w:val="66D37DBF"/>
    <w:rsid w:val="66D47A94"/>
    <w:rsid w:val="66D82ABA"/>
    <w:rsid w:val="66E4759D"/>
    <w:rsid w:val="66E75B92"/>
    <w:rsid w:val="67080774"/>
    <w:rsid w:val="67126F49"/>
    <w:rsid w:val="67195D19"/>
    <w:rsid w:val="672361E3"/>
    <w:rsid w:val="673212A8"/>
    <w:rsid w:val="67485617"/>
    <w:rsid w:val="674B4F4A"/>
    <w:rsid w:val="67586F6C"/>
    <w:rsid w:val="67625F8A"/>
    <w:rsid w:val="676A3DA6"/>
    <w:rsid w:val="67773A51"/>
    <w:rsid w:val="67835FB2"/>
    <w:rsid w:val="679805D8"/>
    <w:rsid w:val="67A46064"/>
    <w:rsid w:val="67A46EF4"/>
    <w:rsid w:val="67B16006"/>
    <w:rsid w:val="67BA07B7"/>
    <w:rsid w:val="67BC3FEE"/>
    <w:rsid w:val="67C77CC2"/>
    <w:rsid w:val="67CA7544"/>
    <w:rsid w:val="67CF598F"/>
    <w:rsid w:val="67D477F8"/>
    <w:rsid w:val="67DA1F38"/>
    <w:rsid w:val="67E118CD"/>
    <w:rsid w:val="67FF7C3A"/>
    <w:rsid w:val="68052609"/>
    <w:rsid w:val="681E1B1C"/>
    <w:rsid w:val="6829477F"/>
    <w:rsid w:val="682A1883"/>
    <w:rsid w:val="682F4FA9"/>
    <w:rsid w:val="68323C50"/>
    <w:rsid w:val="686332F5"/>
    <w:rsid w:val="68646588"/>
    <w:rsid w:val="68743ACA"/>
    <w:rsid w:val="687E7334"/>
    <w:rsid w:val="688232C2"/>
    <w:rsid w:val="68843A78"/>
    <w:rsid w:val="6892155A"/>
    <w:rsid w:val="689F0599"/>
    <w:rsid w:val="68B43376"/>
    <w:rsid w:val="68EE3897"/>
    <w:rsid w:val="68F053F6"/>
    <w:rsid w:val="68F43A1E"/>
    <w:rsid w:val="69017C6D"/>
    <w:rsid w:val="69145603"/>
    <w:rsid w:val="69184B75"/>
    <w:rsid w:val="69423186"/>
    <w:rsid w:val="6942555E"/>
    <w:rsid w:val="69432BE1"/>
    <w:rsid w:val="69492E1D"/>
    <w:rsid w:val="694A3C5C"/>
    <w:rsid w:val="694D728A"/>
    <w:rsid w:val="69832373"/>
    <w:rsid w:val="6988057F"/>
    <w:rsid w:val="699906A2"/>
    <w:rsid w:val="69AC12C2"/>
    <w:rsid w:val="69C411D0"/>
    <w:rsid w:val="69C62FFA"/>
    <w:rsid w:val="69D86C6D"/>
    <w:rsid w:val="69FA48D7"/>
    <w:rsid w:val="6A0D6DC9"/>
    <w:rsid w:val="6A341444"/>
    <w:rsid w:val="6A4A19BA"/>
    <w:rsid w:val="6A564EBF"/>
    <w:rsid w:val="6A582B8E"/>
    <w:rsid w:val="6A645FFB"/>
    <w:rsid w:val="6A6A2D90"/>
    <w:rsid w:val="6A701056"/>
    <w:rsid w:val="6A7A24EF"/>
    <w:rsid w:val="6A7B6932"/>
    <w:rsid w:val="6A7E361E"/>
    <w:rsid w:val="6A890DC5"/>
    <w:rsid w:val="6A8F3951"/>
    <w:rsid w:val="6A9A2282"/>
    <w:rsid w:val="6AAD6C66"/>
    <w:rsid w:val="6ABB292C"/>
    <w:rsid w:val="6AC46CE5"/>
    <w:rsid w:val="6ACD0D45"/>
    <w:rsid w:val="6ACF043E"/>
    <w:rsid w:val="6AD028DF"/>
    <w:rsid w:val="6AD9743D"/>
    <w:rsid w:val="6AF6368D"/>
    <w:rsid w:val="6AFE0C80"/>
    <w:rsid w:val="6B040407"/>
    <w:rsid w:val="6B055F08"/>
    <w:rsid w:val="6B083506"/>
    <w:rsid w:val="6B2873C2"/>
    <w:rsid w:val="6B2A0779"/>
    <w:rsid w:val="6B2B1D80"/>
    <w:rsid w:val="6B3111D5"/>
    <w:rsid w:val="6B3D3548"/>
    <w:rsid w:val="6B664EB6"/>
    <w:rsid w:val="6B6B0A44"/>
    <w:rsid w:val="6B936A01"/>
    <w:rsid w:val="6B947E09"/>
    <w:rsid w:val="6BA87D31"/>
    <w:rsid w:val="6BB72998"/>
    <w:rsid w:val="6BBC73BD"/>
    <w:rsid w:val="6BC066B1"/>
    <w:rsid w:val="6BD42604"/>
    <w:rsid w:val="6BE85BF1"/>
    <w:rsid w:val="6C033227"/>
    <w:rsid w:val="6C0B1660"/>
    <w:rsid w:val="6C133DDF"/>
    <w:rsid w:val="6C320084"/>
    <w:rsid w:val="6C391CC7"/>
    <w:rsid w:val="6C430889"/>
    <w:rsid w:val="6C533915"/>
    <w:rsid w:val="6C7F31BE"/>
    <w:rsid w:val="6C8071BA"/>
    <w:rsid w:val="6CBB7007"/>
    <w:rsid w:val="6CD91C0E"/>
    <w:rsid w:val="6CE01353"/>
    <w:rsid w:val="6CE176B9"/>
    <w:rsid w:val="6CEA7AAC"/>
    <w:rsid w:val="6CF00414"/>
    <w:rsid w:val="6CF02816"/>
    <w:rsid w:val="6CF35CFC"/>
    <w:rsid w:val="6CFA25E1"/>
    <w:rsid w:val="6D1030E8"/>
    <w:rsid w:val="6D2747F1"/>
    <w:rsid w:val="6D3F29A1"/>
    <w:rsid w:val="6D4149C8"/>
    <w:rsid w:val="6D544DC6"/>
    <w:rsid w:val="6D5D09E7"/>
    <w:rsid w:val="6D651DF3"/>
    <w:rsid w:val="6D7C57FB"/>
    <w:rsid w:val="6D9E263C"/>
    <w:rsid w:val="6D9E6AFC"/>
    <w:rsid w:val="6DD658EE"/>
    <w:rsid w:val="6DDD6E36"/>
    <w:rsid w:val="6DE276B3"/>
    <w:rsid w:val="6DE714B6"/>
    <w:rsid w:val="6DEC1C21"/>
    <w:rsid w:val="6E0F1FEB"/>
    <w:rsid w:val="6E152319"/>
    <w:rsid w:val="6E155346"/>
    <w:rsid w:val="6E200829"/>
    <w:rsid w:val="6E3A7BFC"/>
    <w:rsid w:val="6E3B0BAF"/>
    <w:rsid w:val="6E3E0629"/>
    <w:rsid w:val="6E4E3E08"/>
    <w:rsid w:val="6E501AEB"/>
    <w:rsid w:val="6E7C11B5"/>
    <w:rsid w:val="6E7F556F"/>
    <w:rsid w:val="6E8C2E06"/>
    <w:rsid w:val="6E997C25"/>
    <w:rsid w:val="6E9C165A"/>
    <w:rsid w:val="6E9F07E1"/>
    <w:rsid w:val="6EA14A30"/>
    <w:rsid w:val="6EB6105A"/>
    <w:rsid w:val="6EC46D49"/>
    <w:rsid w:val="6EC629FF"/>
    <w:rsid w:val="6EC7282F"/>
    <w:rsid w:val="6ECA6C00"/>
    <w:rsid w:val="6F1C104C"/>
    <w:rsid w:val="6F26499B"/>
    <w:rsid w:val="6F2B25A1"/>
    <w:rsid w:val="6F2D024C"/>
    <w:rsid w:val="6F2D277B"/>
    <w:rsid w:val="6F2F3282"/>
    <w:rsid w:val="6F3F60CB"/>
    <w:rsid w:val="6F587A8E"/>
    <w:rsid w:val="6F5A7044"/>
    <w:rsid w:val="6F5D5506"/>
    <w:rsid w:val="6F600C59"/>
    <w:rsid w:val="6F703F1B"/>
    <w:rsid w:val="6F795A80"/>
    <w:rsid w:val="6F7E2770"/>
    <w:rsid w:val="6F8776A7"/>
    <w:rsid w:val="6F957D21"/>
    <w:rsid w:val="6F9A1B5B"/>
    <w:rsid w:val="6FA57C2A"/>
    <w:rsid w:val="6FC22E70"/>
    <w:rsid w:val="6FD175F7"/>
    <w:rsid w:val="6FD95378"/>
    <w:rsid w:val="6FF47B92"/>
    <w:rsid w:val="6FFD1488"/>
    <w:rsid w:val="70027824"/>
    <w:rsid w:val="700B44C9"/>
    <w:rsid w:val="70173431"/>
    <w:rsid w:val="703C1CAA"/>
    <w:rsid w:val="703E1108"/>
    <w:rsid w:val="70460ECD"/>
    <w:rsid w:val="704B7EBD"/>
    <w:rsid w:val="7051053C"/>
    <w:rsid w:val="707F7FC1"/>
    <w:rsid w:val="70830694"/>
    <w:rsid w:val="7092075C"/>
    <w:rsid w:val="70A16710"/>
    <w:rsid w:val="70AF49AD"/>
    <w:rsid w:val="70CC6CCD"/>
    <w:rsid w:val="70E234A9"/>
    <w:rsid w:val="70E51433"/>
    <w:rsid w:val="70FC24C5"/>
    <w:rsid w:val="71081951"/>
    <w:rsid w:val="710C10AD"/>
    <w:rsid w:val="71195FA1"/>
    <w:rsid w:val="711F23C1"/>
    <w:rsid w:val="71252C8F"/>
    <w:rsid w:val="712D7A96"/>
    <w:rsid w:val="71334F8E"/>
    <w:rsid w:val="713954C7"/>
    <w:rsid w:val="713C2BF3"/>
    <w:rsid w:val="715517E0"/>
    <w:rsid w:val="715D55F4"/>
    <w:rsid w:val="71647A80"/>
    <w:rsid w:val="71682CDB"/>
    <w:rsid w:val="716D1C68"/>
    <w:rsid w:val="717C301D"/>
    <w:rsid w:val="718D2B25"/>
    <w:rsid w:val="71AC3CA8"/>
    <w:rsid w:val="71B24D30"/>
    <w:rsid w:val="71E67530"/>
    <w:rsid w:val="71F552A8"/>
    <w:rsid w:val="71FA60A3"/>
    <w:rsid w:val="71FD3369"/>
    <w:rsid w:val="7208350E"/>
    <w:rsid w:val="72142600"/>
    <w:rsid w:val="72264502"/>
    <w:rsid w:val="723358B2"/>
    <w:rsid w:val="72347B51"/>
    <w:rsid w:val="72356228"/>
    <w:rsid w:val="72363B93"/>
    <w:rsid w:val="72366F69"/>
    <w:rsid w:val="72546CCC"/>
    <w:rsid w:val="72571A57"/>
    <w:rsid w:val="7269077B"/>
    <w:rsid w:val="727F0C00"/>
    <w:rsid w:val="72981E43"/>
    <w:rsid w:val="729C3060"/>
    <w:rsid w:val="72AD5CE4"/>
    <w:rsid w:val="72BB344D"/>
    <w:rsid w:val="72BD396A"/>
    <w:rsid w:val="72E77D45"/>
    <w:rsid w:val="72EA334F"/>
    <w:rsid w:val="730440C9"/>
    <w:rsid w:val="730B241D"/>
    <w:rsid w:val="73225EEC"/>
    <w:rsid w:val="73236EBA"/>
    <w:rsid w:val="73242532"/>
    <w:rsid w:val="73480C9F"/>
    <w:rsid w:val="734C24BD"/>
    <w:rsid w:val="7356298F"/>
    <w:rsid w:val="7357002D"/>
    <w:rsid w:val="73576104"/>
    <w:rsid w:val="735A6C44"/>
    <w:rsid w:val="73764F03"/>
    <w:rsid w:val="73815738"/>
    <w:rsid w:val="73927989"/>
    <w:rsid w:val="739F3A97"/>
    <w:rsid w:val="73AF1694"/>
    <w:rsid w:val="73B673EF"/>
    <w:rsid w:val="73C8277D"/>
    <w:rsid w:val="73CE2AF2"/>
    <w:rsid w:val="73EF07B7"/>
    <w:rsid w:val="73F02366"/>
    <w:rsid w:val="73F07FEE"/>
    <w:rsid w:val="74057A07"/>
    <w:rsid w:val="742254DD"/>
    <w:rsid w:val="7437180D"/>
    <w:rsid w:val="74391D4B"/>
    <w:rsid w:val="74483CFE"/>
    <w:rsid w:val="744B0DA7"/>
    <w:rsid w:val="744D3074"/>
    <w:rsid w:val="74624CC6"/>
    <w:rsid w:val="746A5AD3"/>
    <w:rsid w:val="74723306"/>
    <w:rsid w:val="747A2CC8"/>
    <w:rsid w:val="747F3641"/>
    <w:rsid w:val="74B579B7"/>
    <w:rsid w:val="74B71E9C"/>
    <w:rsid w:val="74BB7061"/>
    <w:rsid w:val="74CE3EB2"/>
    <w:rsid w:val="74DB340A"/>
    <w:rsid w:val="74E82D21"/>
    <w:rsid w:val="750D23D7"/>
    <w:rsid w:val="750E03C1"/>
    <w:rsid w:val="751C6251"/>
    <w:rsid w:val="751E470B"/>
    <w:rsid w:val="753D7B6A"/>
    <w:rsid w:val="754026A2"/>
    <w:rsid w:val="754301AD"/>
    <w:rsid w:val="754E2F08"/>
    <w:rsid w:val="75500735"/>
    <w:rsid w:val="75670772"/>
    <w:rsid w:val="75671A3D"/>
    <w:rsid w:val="757C44C8"/>
    <w:rsid w:val="75961C87"/>
    <w:rsid w:val="759A09C5"/>
    <w:rsid w:val="75A6427E"/>
    <w:rsid w:val="75AF7DF9"/>
    <w:rsid w:val="75B243A7"/>
    <w:rsid w:val="75DE6DB1"/>
    <w:rsid w:val="75E16ABB"/>
    <w:rsid w:val="75E572CF"/>
    <w:rsid w:val="75FB07A2"/>
    <w:rsid w:val="75FF02E6"/>
    <w:rsid w:val="76046317"/>
    <w:rsid w:val="760617CC"/>
    <w:rsid w:val="761375E4"/>
    <w:rsid w:val="76217478"/>
    <w:rsid w:val="763C572C"/>
    <w:rsid w:val="7656131D"/>
    <w:rsid w:val="7666354F"/>
    <w:rsid w:val="766B6ECD"/>
    <w:rsid w:val="767470B0"/>
    <w:rsid w:val="767E397C"/>
    <w:rsid w:val="76855EB9"/>
    <w:rsid w:val="7692691E"/>
    <w:rsid w:val="76996365"/>
    <w:rsid w:val="769A10D0"/>
    <w:rsid w:val="76C2349E"/>
    <w:rsid w:val="76CB35EC"/>
    <w:rsid w:val="76D054CE"/>
    <w:rsid w:val="76D10C55"/>
    <w:rsid w:val="76D276DD"/>
    <w:rsid w:val="76D85DAB"/>
    <w:rsid w:val="76EA2D88"/>
    <w:rsid w:val="76FC5ECA"/>
    <w:rsid w:val="77040C67"/>
    <w:rsid w:val="770C2851"/>
    <w:rsid w:val="770E161B"/>
    <w:rsid w:val="773B587C"/>
    <w:rsid w:val="773F6299"/>
    <w:rsid w:val="77416C82"/>
    <w:rsid w:val="774271F2"/>
    <w:rsid w:val="77453760"/>
    <w:rsid w:val="77473689"/>
    <w:rsid w:val="77640DC4"/>
    <w:rsid w:val="77653D55"/>
    <w:rsid w:val="776A7D9F"/>
    <w:rsid w:val="77734AD9"/>
    <w:rsid w:val="77767106"/>
    <w:rsid w:val="77786FD4"/>
    <w:rsid w:val="77A954AE"/>
    <w:rsid w:val="77AB2363"/>
    <w:rsid w:val="77D71742"/>
    <w:rsid w:val="77E342D7"/>
    <w:rsid w:val="77F3466D"/>
    <w:rsid w:val="780127F5"/>
    <w:rsid w:val="7822274B"/>
    <w:rsid w:val="78306EF8"/>
    <w:rsid w:val="7840608D"/>
    <w:rsid w:val="78494C44"/>
    <w:rsid w:val="78594455"/>
    <w:rsid w:val="785A03C2"/>
    <w:rsid w:val="78786AB3"/>
    <w:rsid w:val="787D7B01"/>
    <w:rsid w:val="78927153"/>
    <w:rsid w:val="78970591"/>
    <w:rsid w:val="789C0A5C"/>
    <w:rsid w:val="78B065B0"/>
    <w:rsid w:val="78BD4113"/>
    <w:rsid w:val="78C33E4A"/>
    <w:rsid w:val="78F10DB2"/>
    <w:rsid w:val="7901119D"/>
    <w:rsid w:val="790177E9"/>
    <w:rsid w:val="790D3EA5"/>
    <w:rsid w:val="79106B12"/>
    <w:rsid w:val="791B2495"/>
    <w:rsid w:val="791D2A50"/>
    <w:rsid w:val="791E4915"/>
    <w:rsid w:val="79366F18"/>
    <w:rsid w:val="793E022D"/>
    <w:rsid w:val="793E56AD"/>
    <w:rsid w:val="79432736"/>
    <w:rsid w:val="79505D65"/>
    <w:rsid w:val="79660E81"/>
    <w:rsid w:val="797940FE"/>
    <w:rsid w:val="79866E7E"/>
    <w:rsid w:val="798A6A50"/>
    <w:rsid w:val="799A7341"/>
    <w:rsid w:val="79AA4A14"/>
    <w:rsid w:val="79AD792E"/>
    <w:rsid w:val="79B63FC9"/>
    <w:rsid w:val="79C16BC7"/>
    <w:rsid w:val="79C21E49"/>
    <w:rsid w:val="79C673FA"/>
    <w:rsid w:val="79DE02DD"/>
    <w:rsid w:val="79E07E40"/>
    <w:rsid w:val="79E13C8B"/>
    <w:rsid w:val="79EB5D1B"/>
    <w:rsid w:val="79FC6182"/>
    <w:rsid w:val="7A0A0885"/>
    <w:rsid w:val="7A0A6F4F"/>
    <w:rsid w:val="7A1D2D65"/>
    <w:rsid w:val="7A2E0A35"/>
    <w:rsid w:val="7A456F6D"/>
    <w:rsid w:val="7A526C88"/>
    <w:rsid w:val="7A5705CE"/>
    <w:rsid w:val="7A5D27C6"/>
    <w:rsid w:val="7A5F16CA"/>
    <w:rsid w:val="7A68409A"/>
    <w:rsid w:val="7A710D8E"/>
    <w:rsid w:val="7AB1300F"/>
    <w:rsid w:val="7AB45E26"/>
    <w:rsid w:val="7AB64E52"/>
    <w:rsid w:val="7ADA0EA4"/>
    <w:rsid w:val="7AE75FBC"/>
    <w:rsid w:val="7AFC56DC"/>
    <w:rsid w:val="7B0D3216"/>
    <w:rsid w:val="7B345398"/>
    <w:rsid w:val="7B355131"/>
    <w:rsid w:val="7B590C27"/>
    <w:rsid w:val="7B6B24CD"/>
    <w:rsid w:val="7B6C5EAB"/>
    <w:rsid w:val="7B7814A8"/>
    <w:rsid w:val="7B814DD3"/>
    <w:rsid w:val="7B861DF2"/>
    <w:rsid w:val="7B864059"/>
    <w:rsid w:val="7B874BE4"/>
    <w:rsid w:val="7BA33013"/>
    <w:rsid w:val="7BB97642"/>
    <w:rsid w:val="7BF702E8"/>
    <w:rsid w:val="7BFA0FA5"/>
    <w:rsid w:val="7BFE2BF5"/>
    <w:rsid w:val="7C162A9E"/>
    <w:rsid w:val="7C177BEA"/>
    <w:rsid w:val="7C1908EC"/>
    <w:rsid w:val="7C206AB7"/>
    <w:rsid w:val="7C647A61"/>
    <w:rsid w:val="7C7B2256"/>
    <w:rsid w:val="7C8646F6"/>
    <w:rsid w:val="7C886A69"/>
    <w:rsid w:val="7C8F6150"/>
    <w:rsid w:val="7C9B11F5"/>
    <w:rsid w:val="7C9B46D0"/>
    <w:rsid w:val="7CA37E05"/>
    <w:rsid w:val="7CA95B93"/>
    <w:rsid w:val="7CBC0850"/>
    <w:rsid w:val="7CBC5897"/>
    <w:rsid w:val="7CD3681B"/>
    <w:rsid w:val="7CF20DD2"/>
    <w:rsid w:val="7CFF7134"/>
    <w:rsid w:val="7D1D1FC6"/>
    <w:rsid w:val="7D28646B"/>
    <w:rsid w:val="7D2D300E"/>
    <w:rsid w:val="7D4714AF"/>
    <w:rsid w:val="7D476185"/>
    <w:rsid w:val="7D7016BE"/>
    <w:rsid w:val="7D8603E2"/>
    <w:rsid w:val="7D983576"/>
    <w:rsid w:val="7D9B3D45"/>
    <w:rsid w:val="7D9C553A"/>
    <w:rsid w:val="7DBB346B"/>
    <w:rsid w:val="7DD0508B"/>
    <w:rsid w:val="7DE4119D"/>
    <w:rsid w:val="7DEE5B58"/>
    <w:rsid w:val="7DEF4E30"/>
    <w:rsid w:val="7E0B1390"/>
    <w:rsid w:val="7E2B13AE"/>
    <w:rsid w:val="7E676A56"/>
    <w:rsid w:val="7E690FF4"/>
    <w:rsid w:val="7E947A7E"/>
    <w:rsid w:val="7EA36676"/>
    <w:rsid w:val="7ED03245"/>
    <w:rsid w:val="7ED25E9B"/>
    <w:rsid w:val="7ED37D6E"/>
    <w:rsid w:val="7F0A2251"/>
    <w:rsid w:val="7F0A51A4"/>
    <w:rsid w:val="7F1A0C40"/>
    <w:rsid w:val="7F332C78"/>
    <w:rsid w:val="7F3F5D11"/>
    <w:rsid w:val="7F486A87"/>
    <w:rsid w:val="7F7D2EBD"/>
    <w:rsid w:val="7F8846F0"/>
    <w:rsid w:val="7FA36CA7"/>
    <w:rsid w:val="7FAD2052"/>
    <w:rsid w:val="7FD34F08"/>
    <w:rsid w:val="7FD51EFD"/>
    <w:rsid w:val="7FE04F3E"/>
    <w:rsid w:val="7FEA3B6F"/>
    <w:rsid w:val="BAFFAB79"/>
  </w:rsids>
  <m:mathPr>
    <m:mathFont m:val="Cambria Math"/>
    <m:brkBin m:val="before"/>
    <m:brkBinSub m:val="--"/>
    <m:smallFrac m:val="0"/>
    <m:dispDef/>
    <m:lMargin m:val="0"/>
    <m:rMargin m:val="0"/>
    <m:defJc m:val="centerGroup"/>
    <m:wrapIndent m:val="1440"/>
    <m:intLim m:val="subSup"/>
    <m:naryLim m:val="undOvr"/>
  </m:mathPr>
  <w:themeFontLang w:val="zh-CN" w:eastAsia="zh-CN" w:bidi="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qFormat="1"/>
    <w:lsdException w:name="List" w:qFormat="1"/>
    <w:lsdException w:name="Title" w:qFormat="1"/>
    <w:lsdException w:name="Default Paragraph Font"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pPr>
      <w:widowControl w:val="0"/>
      <w:suppressAutoHyphens/>
    </w:pPr>
    <w:rPr>
      <w:rFonts w:ascii="Arial Unicode MS" w:eastAsia="Arial Unicode MS" w:hAnsi="Arial Unicode MS" w:cs="Arial Unicode MS"/>
      <w:sz w:val="22"/>
      <w:szCs w:val="22"/>
      <w:lang w:val="zh-CN" w:bidi="zh-CN"/>
    </w:rPr>
  </w:style>
  <w:style w:type="paragraph" w:styleId="1">
    <w:name w:val="heading 1"/>
    <w:basedOn w:val="a"/>
    <w:next w:val="a"/>
    <w:uiPriority w:val="1"/>
    <w:qFormat/>
    <w:pPr>
      <w:ind w:left="-40"/>
      <w:outlineLvl w:val="0"/>
    </w:pPr>
    <w:rPr>
      <w:sz w:val="52"/>
      <w:szCs w:val="52"/>
    </w:rPr>
  </w:style>
  <w:style w:type="paragraph" w:styleId="2">
    <w:name w:val="heading 2"/>
    <w:basedOn w:val="a"/>
    <w:next w:val="a"/>
    <w:uiPriority w:val="1"/>
    <w:qFormat/>
    <w:pPr>
      <w:ind w:right="18"/>
      <w:jc w:val="center"/>
      <w:outlineLvl w:val="1"/>
    </w:pPr>
    <w:rPr>
      <w:sz w:val="44"/>
      <w:szCs w:val="44"/>
    </w:rPr>
  </w:style>
  <w:style w:type="paragraph" w:styleId="3">
    <w:name w:val="heading 3"/>
    <w:basedOn w:val="a"/>
    <w:next w:val="a"/>
    <w:uiPriority w:val="1"/>
    <w:qFormat/>
    <w:pPr>
      <w:ind w:left="1"/>
      <w:jc w:val="center"/>
      <w:outlineLvl w:val="2"/>
    </w:pPr>
    <w:rPr>
      <w:sz w:val="40"/>
      <w:szCs w:val="40"/>
    </w:rPr>
  </w:style>
  <w:style w:type="paragraph" w:styleId="4">
    <w:name w:val="heading 4"/>
    <w:basedOn w:val="a"/>
    <w:next w:val="a"/>
    <w:uiPriority w:val="1"/>
    <w:qFormat/>
    <w:pPr>
      <w:jc w:val="center"/>
      <w:outlineLvl w:val="3"/>
    </w:pPr>
    <w:rPr>
      <w:sz w:val="36"/>
      <w:szCs w:val="36"/>
    </w:rPr>
  </w:style>
  <w:style w:type="paragraph" w:styleId="5">
    <w:name w:val="heading 5"/>
    <w:basedOn w:val="a"/>
    <w:next w:val="a"/>
    <w:uiPriority w:val="1"/>
    <w:qFormat/>
    <w:pPr>
      <w:ind w:left="112"/>
      <w:outlineLvl w:val="4"/>
    </w:pPr>
    <w:rPr>
      <w:sz w:val="33"/>
      <w:szCs w:val="3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pPr>
      <w:suppressLineNumbers/>
      <w:spacing w:before="120" w:after="120"/>
    </w:pPr>
    <w:rPr>
      <w:i/>
      <w:iCs/>
      <w:sz w:val="24"/>
      <w:szCs w:val="24"/>
    </w:rPr>
  </w:style>
  <w:style w:type="paragraph" w:styleId="a4">
    <w:name w:val="Body Text"/>
    <w:basedOn w:val="a"/>
    <w:uiPriority w:val="1"/>
    <w:qFormat/>
    <w:rPr>
      <w:sz w:val="32"/>
      <w:szCs w:val="32"/>
    </w:rPr>
  </w:style>
  <w:style w:type="paragraph" w:styleId="a5">
    <w:name w:val="footer"/>
    <w:basedOn w:val="a"/>
    <w:qFormat/>
    <w:pPr>
      <w:tabs>
        <w:tab w:val="center" w:pos="4153"/>
        <w:tab w:val="right" w:pos="8306"/>
      </w:tabs>
      <w:snapToGrid w:val="0"/>
    </w:pPr>
    <w:rPr>
      <w:sz w:val="18"/>
      <w:szCs w:val="18"/>
    </w:rPr>
  </w:style>
  <w:style w:type="paragraph" w:styleId="a6">
    <w:name w:val="header"/>
    <w:basedOn w:val="a"/>
    <w:qFormat/>
    <w:pPr>
      <w:pBdr>
        <w:bottom w:val="single" w:sz="6" w:space="1" w:color="000000"/>
      </w:pBdr>
      <w:tabs>
        <w:tab w:val="center" w:pos="4153"/>
        <w:tab w:val="right" w:pos="8306"/>
      </w:tabs>
      <w:snapToGrid w:val="0"/>
      <w:jc w:val="center"/>
    </w:pPr>
    <w:rPr>
      <w:sz w:val="18"/>
      <w:szCs w:val="18"/>
    </w:rPr>
  </w:style>
  <w:style w:type="paragraph" w:styleId="a7">
    <w:name w:val="List"/>
    <w:basedOn w:val="a4"/>
    <w:qFormat/>
  </w:style>
  <w:style w:type="table" w:styleId="a8">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编号符号"/>
    <w:qFormat/>
  </w:style>
  <w:style w:type="character" w:customStyle="1" w:styleId="aa">
    <w:name w:val="页眉 字符"/>
    <w:basedOn w:val="a0"/>
    <w:qFormat/>
    <w:rPr>
      <w:rFonts w:ascii="Arial Unicode MS" w:eastAsia="Arial Unicode MS" w:hAnsi="Arial Unicode MS" w:cs="Arial Unicode MS"/>
      <w:sz w:val="18"/>
      <w:szCs w:val="18"/>
      <w:lang w:val="zh-CN" w:bidi="zh-CN"/>
    </w:rPr>
  </w:style>
  <w:style w:type="character" w:customStyle="1" w:styleId="ab">
    <w:name w:val="页脚 字符"/>
    <w:basedOn w:val="a0"/>
    <w:qFormat/>
    <w:rPr>
      <w:rFonts w:ascii="Arial Unicode MS" w:eastAsia="Arial Unicode MS" w:hAnsi="Arial Unicode MS" w:cs="Arial Unicode MS"/>
      <w:sz w:val="18"/>
      <w:szCs w:val="18"/>
      <w:lang w:val="zh-CN" w:bidi="zh-CN"/>
    </w:rPr>
  </w:style>
  <w:style w:type="paragraph" w:customStyle="1" w:styleId="ac">
    <w:name w:val="标题样式"/>
    <w:basedOn w:val="a"/>
    <w:next w:val="a4"/>
    <w:qFormat/>
    <w:pPr>
      <w:keepNext/>
      <w:spacing w:before="240" w:after="120"/>
    </w:pPr>
    <w:rPr>
      <w:rFonts w:ascii="Liberation Sans" w:hAnsi="Liberation Sans"/>
      <w:sz w:val="28"/>
      <w:szCs w:val="28"/>
    </w:rPr>
  </w:style>
  <w:style w:type="paragraph" w:customStyle="1" w:styleId="ad">
    <w:name w:val="索引"/>
    <w:basedOn w:val="a"/>
    <w:qFormat/>
    <w:pPr>
      <w:suppressLineNumbers/>
    </w:pPr>
  </w:style>
  <w:style w:type="paragraph" w:customStyle="1" w:styleId="ae">
    <w:name w:val="页眉与页脚"/>
    <w:basedOn w:val="a"/>
    <w:qFormat/>
  </w:style>
  <w:style w:type="paragraph" w:customStyle="1" w:styleId="10">
    <w:name w:val="列出段落1"/>
    <w:basedOn w:val="a"/>
    <w:uiPriority w:val="1"/>
    <w:qFormat/>
    <w:pPr>
      <w:ind w:left="2039" w:hanging="782"/>
    </w:pPr>
  </w:style>
  <w:style w:type="paragraph" w:customStyle="1" w:styleId="TableParagraph">
    <w:name w:val="Table Paragraph"/>
    <w:basedOn w:val="a"/>
    <w:uiPriority w:val="1"/>
    <w:qFormat/>
    <w:rPr>
      <w:rFonts w:ascii="宋体" w:eastAsia="宋体" w:hAnsi="宋体" w:cs="宋体"/>
    </w:rPr>
  </w:style>
  <w:style w:type="paragraph" w:customStyle="1" w:styleId="af">
    <w:name w:val="表格内容"/>
    <w:basedOn w:val="a"/>
    <w:qFormat/>
    <w:pPr>
      <w:suppressLineNumbers/>
    </w:pPr>
  </w:style>
  <w:style w:type="paragraph" w:customStyle="1" w:styleId="af0">
    <w:name w:val="表格标题"/>
    <w:basedOn w:val="af"/>
    <w:qFormat/>
    <w:pPr>
      <w:jc w:val="center"/>
    </w:pPr>
    <w:rPr>
      <w:b/>
      <w:bCs/>
    </w:rPr>
  </w:style>
  <w:style w:type="paragraph" w:customStyle="1" w:styleId="af1">
    <w:name w:val="预格式化的文本"/>
    <w:basedOn w:val="a"/>
    <w:qFormat/>
    <w:rPr>
      <w:rFonts w:ascii="Liberation Mono" w:eastAsia="新宋体" w:hAnsi="Liberation Mono" w:cs="Liberation Mono"/>
      <w:sz w:val="20"/>
      <w:szCs w:val="20"/>
    </w:rPr>
  </w:style>
  <w:style w:type="table" w:customStyle="1" w:styleId="TableNormal">
    <w:name w:val="Table Normal"/>
    <w:uiPriority w:val="2"/>
    <w:unhideWhenUsed/>
    <w:qFormat/>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qFormat="1"/>
    <w:lsdException w:name="List" w:qFormat="1"/>
    <w:lsdException w:name="Title" w:qFormat="1"/>
    <w:lsdException w:name="Default Paragraph Font" w:uiPriority="1" w:unhideWhenUsed="1" w:qFormat="1"/>
    <w:lsdException w:name="Body Text" w:uiPriority="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uiPriority w:val="1"/>
    <w:qFormat/>
    <w:pPr>
      <w:widowControl w:val="0"/>
      <w:suppressAutoHyphens/>
    </w:pPr>
    <w:rPr>
      <w:rFonts w:ascii="Arial Unicode MS" w:eastAsia="Arial Unicode MS" w:hAnsi="Arial Unicode MS" w:cs="Arial Unicode MS"/>
      <w:sz w:val="22"/>
      <w:szCs w:val="22"/>
      <w:lang w:val="zh-CN" w:bidi="zh-CN"/>
    </w:rPr>
  </w:style>
  <w:style w:type="paragraph" w:styleId="1">
    <w:name w:val="heading 1"/>
    <w:basedOn w:val="a"/>
    <w:next w:val="a"/>
    <w:uiPriority w:val="1"/>
    <w:qFormat/>
    <w:pPr>
      <w:ind w:left="-40"/>
      <w:outlineLvl w:val="0"/>
    </w:pPr>
    <w:rPr>
      <w:sz w:val="52"/>
      <w:szCs w:val="52"/>
    </w:rPr>
  </w:style>
  <w:style w:type="paragraph" w:styleId="2">
    <w:name w:val="heading 2"/>
    <w:basedOn w:val="a"/>
    <w:next w:val="a"/>
    <w:uiPriority w:val="1"/>
    <w:qFormat/>
    <w:pPr>
      <w:ind w:right="18"/>
      <w:jc w:val="center"/>
      <w:outlineLvl w:val="1"/>
    </w:pPr>
    <w:rPr>
      <w:sz w:val="44"/>
      <w:szCs w:val="44"/>
    </w:rPr>
  </w:style>
  <w:style w:type="paragraph" w:styleId="3">
    <w:name w:val="heading 3"/>
    <w:basedOn w:val="a"/>
    <w:next w:val="a"/>
    <w:uiPriority w:val="1"/>
    <w:qFormat/>
    <w:pPr>
      <w:ind w:left="1"/>
      <w:jc w:val="center"/>
      <w:outlineLvl w:val="2"/>
    </w:pPr>
    <w:rPr>
      <w:sz w:val="40"/>
      <w:szCs w:val="40"/>
    </w:rPr>
  </w:style>
  <w:style w:type="paragraph" w:styleId="4">
    <w:name w:val="heading 4"/>
    <w:basedOn w:val="a"/>
    <w:next w:val="a"/>
    <w:uiPriority w:val="1"/>
    <w:qFormat/>
    <w:pPr>
      <w:jc w:val="center"/>
      <w:outlineLvl w:val="3"/>
    </w:pPr>
    <w:rPr>
      <w:sz w:val="36"/>
      <w:szCs w:val="36"/>
    </w:rPr>
  </w:style>
  <w:style w:type="paragraph" w:styleId="5">
    <w:name w:val="heading 5"/>
    <w:basedOn w:val="a"/>
    <w:next w:val="a"/>
    <w:uiPriority w:val="1"/>
    <w:qFormat/>
    <w:pPr>
      <w:ind w:left="112"/>
      <w:outlineLvl w:val="4"/>
    </w:pPr>
    <w:rPr>
      <w:sz w:val="33"/>
      <w:szCs w:val="3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pPr>
      <w:suppressLineNumbers/>
      <w:spacing w:before="120" w:after="120"/>
    </w:pPr>
    <w:rPr>
      <w:i/>
      <w:iCs/>
      <w:sz w:val="24"/>
      <w:szCs w:val="24"/>
    </w:rPr>
  </w:style>
  <w:style w:type="paragraph" w:styleId="a4">
    <w:name w:val="Body Text"/>
    <w:basedOn w:val="a"/>
    <w:uiPriority w:val="1"/>
    <w:qFormat/>
    <w:rPr>
      <w:sz w:val="32"/>
      <w:szCs w:val="32"/>
    </w:rPr>
  </w:style>
  <w:style w:type="paragraph" w:styleId="a5">
    <w:name w:val="footer"/>
    <w:basedOn w:val="a"/>
    <w:qFormat/>
    <w:pPr>
      <w:tabs>
        <w:tab w:val="center" w:pos="4153"/>
        <w:tab w:val="right" w:pos="8306"/>
      </w:tabs>
      <w:snapToGrid w:val="0"/>
    </w:pPr>
    <w:rPr>
      <w:sz w:val="18"/>
      <w:szCs w:val="18"/>
    </w:rPr>
  </w:style>
  <w:style w:type="paragraph" w:styleId="a6">
    <w:name w:val="header"/>
    <w:basedOn w:val="a"/>
    <w:qFormat/>
    <w:pPr>
      <w:pBdr>
        <w:bottom w:val="single" w:sz="6" w:space="1" w:color="000000"/>
      </w:pBdr>
      <w:tabs>
        <w:tab w:val="center" w:pos="4153"/>
        <w:tab w:val="right" w:pos="8306"/>
      </w:tabs>
      <w:snapToGrid w:val="0"/>
      <w:jc w:val="center"/>
    </w:pPr>
    <w:rPr>
      <w:sz w:val="18"/>
      <w:szCs w:val="18"/>
    </w:rPr>
  </w:style>
  <w:style w:type="paragraph" w:styleId="a7">
    <w:name w:val="List"/>
    <w:basedOn w:val="a4"/>
    <w:qFormat/>
  </w:style>
  <w:style w:type="table" w:styleId="a8">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编号符号"/>
    <w:qFormat/>
  </w:style>
  <w:style w:type="character" w:customStyle="1" w:styleId="aa">
    <w:name w:val="页眉 字符"/>
    <w:basedOn w:val="a0"/>
    <w:qFormat/>
    <w:rPr>
      <w:rFonts w:ascii="Arial Unicode MS" w:eastAsia="Arial Unicode MS" w:hAnsi="Arial Unicode MS" w:cs="Arial Unicode MS"/>
      <w:sz w:val="18"/>
      <w:szCs w:val="18"/>
      <w:lang w:val="zh-CN" w:bidi="zh-CN"/>
    </w:rPr>
  </w:style>
  <w:style w:type="character" w:customStyle="1" w:styleId="ab">
    <w:name w:val="页脚 字符"/>
    <w:basedOn w:val="a0"/>
    <w:qFormat/>
    <w:rPr>
      <w:rFonts w:ascii="Arial Unicode MS" w:eastAsia="Arial Unicode MS" w:hAnsi="Arial Unicode MS" w:cs="Arial Unicode MS"/>
      <w:sz w:val="18"/>
      <w:szCs w:val="18"/>
      <w:lang w:val="zh-CN" w:bidi="zh-CN"/>
    </w:rPr>
  </w:style>
  <w:style w:type="paragraph" w:customStyle="1" w:styleId="ac">
    <w:name w:val="标题样式"/>
    <w:basedOn w:val="a"/>
    <w:next w:val="a4"/>
    <w:qFormat/>
    <w:pPr>
      <w:keepNext/>
      <w:spacing w:before="240" w:after="120"/>
    </w:pPr>
    <w:rPr>
      <w:rFonts w:ascii="Liberation Sans" w:hAnsi="Liberation Sans"/>
      <w:sz w:val="28"/>
      <w:szCs w:val="28"/>
    </w:rPr>
  </w:style>
  <w:style w:type="paragraph" w:customStyle="1" w:styleId="ad">
    <w:name w:val="索引"/>
    <w:basedOn w:val="a"/>
    <w:qFormat/>
    <w:pPr>
      <w:suppressLineNumbers/>
    </w:pPr>
  </w:style>
  <w:style w:type="paragraph" w:customStyle="1" w:styleId="ae">
    <w:name w:val="页眉与页脚"/>
    <w:basedOn w:val="a"/>
    <w:qFormat/>
  </w:style>
  <w:style w:type="paragraph" w:customStyle="1" w:styleId="10">
    <w:name w:val="列出段落1"/>
    <w:basedOn w:val="a"/>
    <w:uiPriority w:val="1"/>
    <w:qFormat/>
    <w:pPr>
      <w:ind w:left="2039" w:hanging="782"/>
    </w:pPr>
  </w:style>
  <w:style w:type="paragraph" w:customStyle="1" w:styleId="TableParagraph">
    <w:name w:val="Table Paragraph"/>
    <w:basedOn w:val="a"/>
    <w:uiPriority w:val="1"/>
    <w:qFormat/>
    <w:rPr>
      <w:rFonts w:ascii="宋体" w:eastAsia="宋体" w:hAnsi="宋体" w:cs="宋体"/>
    </w:rPr>
  </w:style>
  <w:style w:type="paragraph" w:customStyle="1" w:styleId="af">
    <w:name w:val="表格内容"/>
    <w:basedOn w:val="a"/>
    <w:qFormat/>
    <w:pPr>
      <w:suppressLineNumbers/>
    </w:pPr>
  </w:style>
  <w:style w:type="paragraph" w:customStyle="1" w:styleId="af0">
    <w:name w:val="表格标题"/>
    <w:basedOn w:val="af"/>
    <w:qFormat/>
    <w:pPr>
      <w:jc w:val="center"/>
    </w:pPr>
    <w:rPr>
      <w:b/>
      <w:bCs/>
    </w:rPr>
  </w:style>
  <w:style w:type="paragraph" w:customStyle="1" w:styleId="af1">
    <w:name w:val="预格式化的文本"/>
    <w:basedOn w:val="a"/>
    <w:qFormat/>
    <w:rPr>
      <w:rFonts w:ascii="Liberation Mono" w:eastAsia="新宋体" w:hAnsi="Liberation Mono" w:cs="Liberation Mono"/>
      <w:sz w:val="20"/>
      <w:szCs w:val="20"/>
    </w:rPr>
  </w:style>
  <w:style w:type="table" w:customStyle="1" w:styleId="TableNormal">
    <w:name w:val="Table Normal"/>
    <w:uiPriority w:val="2"/>
    <w:unhideWhenUsed/>
    <w:qFormat/>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9.xm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image" Target="media/image2.jpeg"/><Relationship Id="rId2" Type="http://schemas.openxmlformats.org/officeDocument/2006/relationships/styles" Target="styles.xml"/><Relationship Id="rId16" Type="http://schemas.openxmlformats.org/officeDocument/2006/relationships/footer" Target="footer7.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footer" Target="footer14.xml"/><Relationship Id="rId10" Type="http://schemas.openxmlformats.org/officeDocument/2006/relationships/footer" Target="footer1.xml"/><Relationship Id="rId19"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5.xml"/><Relationship Id="rId22" Type="http://schemas.openxmlformats.org/officeDocument/2006/relationships/footer" Target="footer13.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7" textRotate="1"/>
    <customShpInfo spid="_x0000_s4113" textRotate="1"/>
    <customShpInfo spid="_x0000_s4111" textRotate="1"/>
    <customShpInfo spid="_x0000_s4112"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07" textRotate="1"/>
    <customShpInfo spid="_x0000_s4108" textRotate="1"/>
    <customShpInfo spid="_x0000_s411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42</Pages>
  <Words>2991</Words>
  <Characters>17053</Characters>
  <Application>Microsoft Office Word</Application>
  <DocSecurity>0</DocSecurity>
  <Lines>142</Lines>
  <Paragraphs>40</Paragraphs>
  <ScaleCrop>false</ScaleCrop>
  <Company>Microsoft</Company>
  <LinksUpToDate>false</LinksUpToDate>
  <CharactersWithSpaces>20004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部门预算公开</dc:title>
  <dc:creator>陈长军(本处室套红)</dc:creator>
  <cp:lastModifiedBy>无锡市自然资源和规划局(填报)</cp:lastModifiedBy>
  <cp:revision>2</cp:revision>
  <dcterms:created xsi:type="dcterms:W3CDTF">2023-04-03T06:16:00Z</dcterms:created>
  <dcterms:modified xsi:type="dcterms:W3CDTF">2023-04-03T06:16:00Z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ÿþ¹eckýVEŒ⁄ech Y thV </vt:lpwstr>
  </property>
  <property fmtid="{D5CDD505-2E9C-101B-9397-08002B2CF9AE}" pid="4" name="ICV">
    <vt:lpwstr>C823B2FE72FE4DF285E985223D1A425B</vt:lpwstr>
  </property>
  <property fmtid="{D5CDD505-2E9C-101B-9397-08002B2CF9AE}" pid="5" name="KSOProductBuildVer">
    <vt:lpwstr>2052-11.1.0.12763</vt:lpwstr>
  </property>
  <property fmtid="{D5CDD505-2E9C-101B-9397-08002B2CF9AE}" pid="6" name="LastSaved">
    <vt:filetime>2021-04-15T00:00:00Z</vt:filetime>
  </property>
</Properties>
</file>