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47" w:rsidRDefault="004F6D84">
      <w:pPr>
        <w:spacing w:line="560" w:lineRule="exact"/>
        <w:outlineLvl w:val="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rPr>
        <w:t>附件</w:t>
      </w:r>
      <w:r>
        <w:rPr>
          <w:rFonts w:ascii="方正黑体_GBK" w:eastAsia="方正黑体_GBK" w:hAnsi="方正黑体_GBK" w:cs="方正黑体_GBK" w:hint="eastAsia"/>
          <w:color w:val="000000"/>
          <w:sz w:val="32"/>
          <w:szCs w:val="32"/>
        </w:rPr>
        <w:t>2</w:t>
      </w:r>
      <w:bookmarkStart w:id="0" w:name="_GoBack"/>
      <w:bookmarkEnd w:id="0"/>
    </w:p>
    <w:p w:rsidR="00700147" w:rsidRDefault="00700147">
      <w:pPr>
        <w:pStyle w:val="3"/>
        <w:rPr>
          <w:rFonts w:ascii="Times New Roman" w:eastAsia="方正仿宋_GBK" w:hAnsi="Times New Roman" w:cs="Times New Roman"/>
          <w:sz w:val="32"/>
          <w:szCs w:val="32"/>
        </w:rPr>
      </w:pPr>
    </w:p>
    <w:p w:rsidR="00700147" w:rsidRDefault="004F6D84">
      <w:pPr>
        <w:spacing w:line="560" w:lineRule="exact"/>
        <w:jc w:val="center"/>
        <w:outlineLvl w:val="0"/>
        <w:rPr>
          <w:rFonts w:eastAsia="方正小标宋_GBK"/>
          <w:color w:val="000000"/>
          <w:sz w:val="44"/>
          <w:szCs w:val="44"/>
        </w:rPr>
      </w:pPr>
      <w:r>
        <w:rPr>
          <w:rFonts w:eastAsia="方正小标宋_GBK"/>
          <w:color w:val="000000"/>
          <w:sz w:val="44"/>
          <w:szCs w:val="44"/>
          <w:shd w:val="clear" w:color="auto" w:fill="FFFFFF"/>
        </w:rPr>
        <w:t>关于推进商业与公共空间用地改革</w:t>
      </w:r>
      <w:r>
        <w:rPr>
          <w:rFonts w:eastAsia="方正小标宋_GBK"/>
          <w:color w:val="000000"/>
          <w:sz w:val="44"/>
          <w:szCs w:val="44"/>
          <w:shd w:val="clear" w:color="auto" w:fill="FFFFFF"/>
        </w:rPr>
        <w:t xml:space="preserve"> </w:t>
      </w:r>
      <w:r>
        <w:rPr>
          <w:rFonts w:eastAsia="方正小标宋_GBK"/>
          <w:color w:val="000000"/>
          <w:sz w:val="44"/>
          <w:szCs w:val="44"/>
          <w:shd w:val="clear" w:color="auto" w:fill="FFFFFF"/>
        </w:rPr>
        <w:t>支持融合高效利用的若干政策</w:t>
      </w:r>
    </w:p>
    <w:p w:rsidR="00700147" w:rsidRDefault="004F6D84">
      <w:pPr>
        <w:spacing w:line="560" w:lineRule="exact"/>
        <w:jc w:val="center"/>
        <w:outlineLvl w:val="0"/>
        <w:rPr>
          <w:rFonts w:eastAsia="方正楷体_GBK"/>
          <w:color w:val="000000"/>
          <w:sz w:val="32"/>
          <w:szCs w:val="32"/>
        </w:rPr>
      </w:pPr>
      <w:r>
        <w:rPr>
          <w:rFonts w:eastAsia="方正楷体_GBK"/>
          <w:color w:val="000000"/>
          <w:sz w:val="32"/>
          <w:szCs w:val="32"/>
        </w:rPr>
        <w:t>（</w:t>
      </w:r>
      <w:r>
        <w:rPr>
          <w:rFonts w:eastAsia="方正楷体_GBK" w:hint="eastAsia"/>
          <w:color w:val="000000"/>
          <w:sz w:val="32"/>
          <w:szCs w:val="32"/>
        </w:rPr>
        <w:t>征求意见</w:t>
      </w:r>
      <w:r>
        <w:rPr>
          <w:rFonts w:eastAsia="方正楷体_GBK"/>
          <w:color w:val="000000"/>
          <w:sz w:val="32"/>
          <w:szCs w:val="32"/>
        </w:rPr>
        <w:t>稿）</w:t>
      </w:r>
    </w:p>
    <w:p w:rsidR="00700147" w:rsidRDefault="00700147">
      <w:pPr>
        <w:spacing w:line="560" w:lineRule="exact"/>
        <w:jc w:val="center"/>
        <w:rPr>
          <w:rFonts w:eastAsia="方正楷体_GBK"/>
          <w:color w:val="000000"/>
          <w:sz w:val="32"/>
          <w:szCs w:val="32"/>
        </w:rPr>
      </w:pP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为落实国家要素市场化配置综合改革试点工作要求，进一步适应商业与公共空间融合发展趋势，提升城市公共服务能级，增强商业服务业发展活力，助推城市</w:t>
      </w:r>
      <w:r>
        <w:rPr>
          <w:rFonts w:eastAsia="方正仿宋_GBK"/>
          <w:color w:val="000000"/>
          <w:sz w:val="32"/>
          <w:szCs w:val="32"/>
        </w:rPr>
        <w:t>“</w:t>
      </w:r>
      <w:r>
        <w:rPr>
          <w:rFonts w:eastAsia="方正仿宋_GBK"/>
          <w:color w:val="000000"/>
          <w:sz w:val="32"/>
          <w:szCs w:val="32"/>
        </w:rPr>
        <w:t>人产城</w:t>
      </w:r>
      <w:r>
        <w:rPr>
          <w:rFonts w:eastAsia="方正仿宋_GBK"/>
          <w:color w:val="000000"/>
          <w:sz w:val="32"/>
          <w:szCs w:val="32"/>
        </w:rPr>
        <w:t>”</w:t>
      </w:r>
      <w:r>
        <w:rPr>
          <w:rFonts w:eastAsia="方正仿宋_GBK"/>
          <w:color w:val="000000"/>
          <w:sz w:val="32"/>
          <w:szCs w:val="32"/>
        </w:rPr>
        <w:t>融合发展，经研究并结合我市工作实际，制定以下支持政策。</w:t>
      </w:r>
    </w:p>
    <w:p w:rsidR="00700147" w:rsidRDefault="004F6D84">
      <w:pPr>
        <w:spacing w:line="560" w:lineRule="exact"/>
        <w:ind w:firstLineChars="200" w:firstLine="640"/>
        <w:outlineLvl w:val="0"/>
        <w:rPr>
          <w:rFonts w:eastAsia="方正黑体_GBK"/>
          <w:color w:val="000000"/>
          <w:sz w:val="32"/>
          <w:szCs w:val="32"/>
        </w:rPr>
      </w:pPr>
      <w:r>
        <w:rPr>
          <w:rFonts w:eastAsia="方正黑体_GBK"/>
          <w:color w:val="000000"/>
          <w:sz w:val="32"/>
          <w:szCs w:val="32"/>
        </w:rPr>
        <w:t>一、促进功能融合和配套提升</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在确保满足</w:t>
      </w:r>
      <w:r>
        <w:rPr>
          <w:rFonts w:eastAsia="方正仿宋_GBK"/>
          <w:color w:val="000000"/>
          <w:kern w:val="0"/>
          <w:sz w:val="32"/>
          <w:szCs w:val="32"/>
        </w:rPr>
        <w:t>环保、消防、结构安全等要求</w:t>
      </w:r>
      <w:r>
        <w:rPr>
          <w:rFonts w:eastAsia="方正仿宋_GBK"/>
          <w:color w:val="000000"/>
          <w:sz w:val="32"/>
          <w:szCs w:val="32"/>
        </w:rPr>
        <w:t>的前提下，鼓励通过用地兼容、混合用地、立体空间开发等方式，适应城市更新发展趋势及土地集约高效利用的需求，加快培育和发展新业态、新场景。</w:t>
      </w:r>
    </w:p>
    <w:p w:rsidR="00700147" w:rsidRDefault="004F6D84">
      <w:pPr>
        <w:spacing w:line="560" w:lineRule="exact"/>
        <w:ind w:firstLineChars="200" w:firstLine="640"/>
        <w:outlineLvl w:val="1"/>
        <w:rPr>
          <w:rFonts w:eastAsia="方正仿宋_GBK"/>
          <w:color w:val="000000"/>
          <w:sz w:val="32"/>
          <w:szCs w:val="32"/>
        </w:rPr>
      </w:pPr>
      <w:r>
        <w:rPr>
          <w:rFonts w:eastAsia="方正楷体_GBK"/>
          <w:color w:val="000000"/>
          <w:sz w:val="32"/>
          <w:szCs w:val="32"/>
        </w:rPr>
        <w:t>（一）支持单一地类兼容其他功能</w:t>
      </w:r>
      <w:r>
        <w:rPr>
          <w:rFonts w:eastAsia="方正仿宋_GBK"/>
          <w:color w:val="000000"/>
          <w:sz w:val="32"/>
          <w:szCs w:val="32"/>
        </w:rPr>
        <w:t>。为实现多业态开发建设与运营，支持新建或存量更新的商业服务业用地，及文化、体育、医疗、交通等公共设施类用地兼容不超过计容建筑面积</w:t>
      </w:r>
      <w:r>
        <w:rPr>
          <w:rFonts w:eastAsia="方正仿宋_GBK"/>
          <w:color w:val="000000"/>
          <w:sz w:val="32"/>
          <w:szCs w:val="32"/>
        </w:rPr>
        <w:t>15%</w:t>
      </w:r>
      <w:r>
        <w:rPr>
          <w:rFonts w:eastAsia="方正仿宋_GBK"/>
          <w:color w:val="000000"/>
          <w:sz w:val="32"/>
          <w:szCs w:val="32"/>
        </w:rPr>
        <w:t>的其他功能，</w:t>
      </w:r>
      <w:bookmarkStart w:id="1" w:name="OLE_LINK25"/>
      <w:bookmarkStart w:id="2" w:name="OLE_LINK24"/>
      <w:bookmarkStart w:id="3" w:name="OLE_LINK26"/>
      <w:r>
        <w:rPr>
          <w:rFonts w:eastAsia="方正仿宋_GBK"/>
          <w:color w:val="000000"/>
          <w:sz w:val="32"/>
          <w:szCs w:val="32"/>
        </w:rPr>
        <w:t>其中公共设施类用地优先满足主导用途建设规模及合理布局要求。支持绿地与开敞空间用地按照公园绿地相关设计规范明确的比例兼容其他功能</w:t>
      </w:r>
      <w:bookmarkStart w:id="4" w:name="OLE_LINK28"/>
      <w:bookmarkStart w:id="5" w:name="OLE_LINK27"/>
      <w:bookmarkEnd w:id="1"/>
      <w:bookmarkEnd w:id="2"/>
      <w:bookmarkEnd w:id="3"/>
      <w:r>
        <w:rPr>
          <w:rFonts w:eastAsia="方正仿宋_GBK"/>
          <w:color w:val="000000"/>
          <w:sz w:val="32"/>
          <w:szCs w:val="32"/>
        </w:rPr>
        <w:t>，可跨路、跨河道划定绿地管理范围，允许按照管理范围统算兼容比例，合理集中布局兼容功能。</w:t>
      </w:r>
    </w:p>
    <w:p w:rsidR="00700147" w:rsidRDefault="004F6D84">
      <w:pPr>
        <w:spacing w:line="560" w:lineRule="exact"/>
        <w:ind w:firstLineChars="200" w:firstLine="640"/>
        <w:outlineLvl w:val="1"/>
        <w:rPr>
          <w:rFonts w:eastAsia="方正仿宋_GBK"/>
          <w:color w:val="000000"/>
          <w:sz w:val="32"/>
          <w:szCs w:val="32"/>
        </w:rPr>
      </w:pPr>
      <w:r>
        <w:rPr>
          <w:rFonts w:eastAsia="方正仿宋_GBK"/>
          <w:color w:val="000000"/>
          <w:sz w:val="32"/>
          <w:szCs w:val="32"/>
        </w:rPr>
        <w:t>兼容部分按</w:t>
      </w:r>
      <w:r>
        <w:rPr>
          <w:rFonts w:eastAsia="方正仿宋_GBK" w:hint="eastAsia"/>
          <w:color w:val="000000"/>
          <w:sz w:val="32"/>
          <w:szCs w:val="32"/>
        </w:rPr>
        <w:t>用地兼容</w:t>
      </w:r>
      <w:r>
        <w:rPr>
          <w:rFonts w:eastAsia="方正仿宋_GBK"/>
          <w:color w:val="000000"/>
          <w:sz w:val="32"/>
          <w:szCs w:val="32"/>
        </w:rPr>
        <w:t>负面清单要求管理，</w:t>
      </w:r>
      <w:bookmarkEnd w:id="4"/>
      <w:bookmarkEnd w:id="5"/>
      <w:r>
        <w:rPr>
          <w:rFonts w:eastAsia="方正仿宋_GBK"/>
          <w:color w:val="000000"/>
          <w:sz w:val="32"/>
          <w:szCs w:val="32"/>
        </w:rPr>
        <w:t>在规划许可、</w:t>
      </w:r>
      <w:r>
        <w:rPr>
          <w:rFonts w:eastAsia="方正仿宋_GBK"/>
          <w:color w:val="000000"/>
          <w:sz w:val="32"/>
          <w:szCs w:val="32"/>
        </w:rPr>
        <w:lastRenderedPageBreak/>
        <w:t>不动产登记中注记为配套设施，不得分割转让。</w:t>
      </w:r>
    </w:p>
    <w:p w:rsidR="00700147" w:rsidRDefault="004F6D84">
      <w:pPr>
        <w:spacing w:line="560" w:lineRule="exact"/>
        <w:ind w:firstLineChars="200" w:firstLine="640"/>
        <w:outlineLvl w:val="1"/>
        <w:rPr>
          <w:rFonts w:eastAsia="方正仿宋_GBK"/>
          <w:color w:val="000000"/>
          <w:sz w:val="32"/>
          <w:szCs w:val="32"/>
        </w:rPr>
      </w:pPr>
      <w:r>
        <w:rPr>
          <w:rFonts w:eastAsia="方正楷体_GBK"/>
          <w:color w:val="000000"/>
          <w:sz w:val="32"/>
          <w:szCs w:val="32"/>
        </w:rPr>
        <w:t>（二）支持多地类混合开发利用。</w:t>
      </w:r>
      <w:r>
        <w:rPr>
          <w:rFonts w:eastAsia="方正仿宋_GBK"/>
          <w:color w:val="000000"/>
          <w:sz w:val="32"/>
          <w:szCs w:val="32"/>
        </w:rPr>
        <w:t>支持同一地块内商业、办公、居住、公共服务、绿地、产业及交通市政设施用地，在符合</w:t>
      </w:r>
      <w:r>
        <w:rPr>
          <w:rFonts w:eastAsia="方正仿宋_GBK" w:hint="eastAsia"/>
          <w:color w:val="000000"/>
          <w:sz w:val="32"/>
          <w:szCs w:val="32"/>
        </w:rPr>
        <w:t>混合用地</w:t>
      </w:r>
      <w:r>
        <w:rPr>
          <w:rFonts w:eastAsia="方正仿宋_GBK"/>
          <w:color w:val="000000"/>
          <w:sz w:val="32"/>
          <w:szCs w:val="32"/>
        </w:rPr>
        <w:t>负面清单管理的前提下，进行多功能混合利用。混合用地可按照详细规划的弹性管控要求，在规划条件阶段具体确定用途构成和比例，供地方式按照主导用途确定，可根据不同用途分别确定使用年限，地价根据不同用途分项评估后按比例确定。</w:t>
      </w:r>
    </w:p>
    <w:p w:rsidR="00700147" w:rsidRDefault="004F6D84">
      <w:pPr>
        <w:spacing w:line="560" w:lineRule="exact"/>
        <w:ind w:firstLineChars="200" w:firstLine="640"/>
        <w:rPr>
          <w:rFonts w:eastAsia="方正楷体_GBK"/>
          <w:color w:val="000000"/>
          <w:sz w:val="32"/>
          <w:szCs w:val="32"/>
        </w:rPr>
      </w:pPr>
      <w:r>
        <w:rPr>
          <w:rFonts w:eastAsia="方正仿宋_GBK"/>
          <w:color w:val="000000"/>
          <w:sz w:val="32"/>
          <w:szCs w:val="32"/>
        </w:rPr>
        <w:t>混合用地优先在市与区级中心、交通枢纽、产城融合发展区域等布局。公共设施类用地实施混合用地的，优先满足公共设施建设规模要求，可探索依法依规以作价出资（入股）方式进行土地供应。绿地与开敞空间实施混合用地涉及商业等经</w:t>
      </w:r>
      <w:r>
        <w:rPr>
          <w:rFonts w:eastAsia="方正仿宋_GBK"/>
          <w:color w:val="000000"/>
          <w:sz w:val="32"/>
          <w:szCs w:val="32"/>
        </w:rPr>
        <w:t>营性用地出让的，可按点状方式单独供地，也可通过</w:t>
      </w:r>
      <w:r>
        <w:rPr>
          <w:rFonts w:eastAsia="方正仿宋_GBK"/>
          <w:color w:val="000000"/>
          <w:sz w:val="32"/>
          <w:szCs w:val="32"/>
        </w:rPr>
        <w:t>“</w:t>
      </w:r>
      <w:r>
        <w:rPr>
          <w:rFonts w:eastAsia="方正仿宋_GBK"/>
          <w:color w:val="000000"/>
          <w:sz w:val="32"/>
          <w:szCs w:val="32"/>
        </w:rPr>
        <w:t>产业</w:t>
      </w:r>
      <w:r>
        <w:rPr>
          <w:rFonts w:eastAsia="方正仿宋_GBK"/>
          <w:color w:val="000000"/>
          <w:sz w:val="32"/>
          <w:szCs w:val="32"/>
        </w:rPr>
        <w:t>+</w:t>
      </w:r>
      <w:r>
        <w:rPr>
          <w:rFonts w:eastAsia="方正仿宋_GBK"/>
          <w:color w:val="000000"/>
          <w:sz w:val="32"/>
          <w:szCs w:val="32"/>
        </w:rPr>
        <w:t>生态管养协议</w:t>
      </w:r>
      <w:r>
        <w:rPr>
          <w:rFonts w:eastAsia="方正仿宋_GBK"/>
          <w:color w:val="000000"/>
          <w:sz w:val="32"/>
          <w:szCs w:val="32"/>
        </w:rPr>
        <w:t>”</w:t>
      </w:r>
      <w:r>
        <w:rPr>
          <w:rFonts w:eastAsia="方正仿宋_GBK"/>
          <w:color w:val="000000"/>
          <w:sz w:val="32"/>
          <w:szCs w:val="32"/>
        </w:rPr>
        <w:t>、</w:t>
      </w:r>
      <w:r>
        <w:rPr>
          <w:rFonts w:eastAsia="方正仿宋_GBK"/>
          <w:color w:val="000000"/>
          <w:sz w:val="32"/>
          <w:szCs w:val="32"/>
        </w:rPr>
        <w:t>“</w:t>
      </w:r>
      <w:r>
        <w:rPr>
          <w:rFonts w:eastAsia="方正仿宋_GBK"/>
          <w:color w:val="000000"/>
          <w:sz w:val="32"/>
          <w:szCs w:val="32"/>
        </w:rPr>
        <w:t>产业</w:t>
      </w:r>
      <w:r>
        <w:rPr>
          <w:rFonts w:eastAsia="方正仿宋_GBK"/>
          <w:color w:val="000000"/>
          <w:sz w:val="32"/>
          <w:szCs w:val="32"/>
        </w:rPr>
        <w:t>+</w:t>
      </w:r>
      <w:r>
        <w:rPr>
          <w:rFonts w:eastAsia="方正仿宋_GBK"/>
          <w:color w:val="000000"/>
          <w:sz w:val="32"/>
          <w:szCs w:val="32"/>
        </w:rPr>
        <w:t>生态修复方案</w:t>
      </w:r>
      <w:r>
        <w:rPr>
          <w:rFonts w:eastAsia="方正仿宋_GBK"/>
          <w:color w:val="000000"/>
          <w:sz w:val="32"/>
          <w:szCs w:val="32"/>
        </w:rPr>
        <w:t>”</w:t>
      </w:r>
      <w:r>
        <w:rPr>
          <w:rFonts w:eastAsia="方正仿宋_GBK"/>
          <w:color w:val="000000"/>
          <w:sz w:val="32"/>
          <w:szCs w:val="32"/>
        </w:rPr>
        <w:t>等多元供应模式供地。</w:t>
      </w:r>
    </w:p>
    <w:p w:rsidR="00700147" w:rsidRDefault="004F6D84">
      <w:pPr>
        <w:spacing w:line="560" w:lineRule="exact"/>
        <w:ind w:firstLineChars="200" w:firstLine="640"/>
        <w:outlineLvl w:val="1"/>
        <w:rPr>
          <w:rFonts w:eastAsia="方正仿宋_GBK"/>
          <w:color w:val="000000"/>
          <w:sz w:val="32"/>
          <w:szCs w:val="32"/>
        </w:rPr>
      </w:pPr>
      <w:r>
        <w:rPr>
          <w:rFonts w:eastAsia="方正楷体_GBK"/>
          <w:color w:val="000000"/>
          <w:sz w:val="32"/>
          <w:szCs w:val="32"/>
        </w:rPr>
        <w:t>（三）支持立体空间开发利用。</w:t>
      </w:r>
      <w:r>
        <w:rPr>
          <w:rFonts w:eastAsia="方正仿宋_GBK"/>
          <w:color w:val="000000"/>
          <w:sz w:val="32"/>
          <w:szCs w:val="32"/>
        </w:rPr>
        <w:t>鼓励通过地上、地表、地下复合开发方式构建互联互通的立体空间系统，支持用于商业等经营性用途。</w:t>
      </w:r>
      <w:r>
        <w:rPr>
          <w:rFonts w:eastAsia="方正仿宋_GBK"/>
          <w:color w:val="000000"/>
          <w:sz w:val="32"/>
          <w:szCs w:val="32"/>
          <w:lang/>
        </w:rPr>
        <w:t>优化详细规划管理，对跨城市支路增加空中连廊、地下连通道，</w:t>
      </w:r>
      <w:r>
        <w:rPr>
          <w:rFonts w:eastAsia="方正仿宋_GBK" w:hint="eastAsia"/>
          <w:color w:val="000000"/>
          <w:sz w:val="32"/>
          <w:szCs w:val="32"/>
        </w:rPr>
        <w:t>兼容符合用地兼容管理要求的</w:t>
      </w:r>
      <w:r>
        <w:rPr>
          <w:rFonts w:eastAsia="方正仿宋_GBK"/>
          <w:color w:val="000000"/>
          <w:sz w:val="32"/>
          <w:szCs w:val="32"/>
          <w:lang/>
        </w:rPr>
        <w:t>功能，以及地块容积率超限幅度不超过原规划指标</w:t>
      </w:r>
      <w:r>
        <w:rPr>
          <w:rFonts w:eastAsia="方正仿宋_GBK"/>
          <w:color w:val="000000"/>
          <w:sz w:val="32"/>
          <w:szCs w:val="32"/>
          <w:lang/>
        </w:rPr>
        <w:t>5%</w:t>
      </w:r>
      <w:r>
        <w:rPr>
          <w:rFonts w:eastAsia="方正仿宋_GBK"/>
          <w:color w:val="000000"/>
          <w:sz w:val="32"/>
          <w:szCs w:val="32"/>
          <w:lang/>
        </w:rPr>
        <w:t>等情形，视为符合详细规划，纳入实施深化管理，无需办理规划调</w:t>
      </w:r>
      <w:r>
        <w:rPr>
          <w:rFonts w:eastAsia="方正仿宋_GBK"/>
          <w:color w:val="000000"/>
          <w:sz w:val="32"/>
          <w:szCs w:val="32"/>
        </w:rPr>
        <w:t>整。</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地上、地表、地下空间可按整宗用地办理供应手续，也可分别设立地上、地表和地下空间使用权。</w:t>
      </w:r>
      <w:r>
        <w:rPr>
          <w:rFonts w:eastAsia="方正仿宋_GBK"/>
          <w:color w:val="000000"/>
          <w:sz w:val="32"/>
          <w:szCs w:val="32"/>
        </w:rPr>
        <w:t>地上、地下空间用途符合《划拨用地目录》的，可通过划拨方式办理用地手</w:t>
      </w:r>
      <w:r>
        <w:rPr>
          <w:rFonts w:eastAsia="方正仿宋_GBK"/>
          <w:color w:val="000000"/>
          <w:sz w:val="32"/>
          <w:szCs w:val="32"/>
        </w:rPr>
        <w:lastRenderedPageBreak/>
        <w:t>续；不符合的，需办理有偿使用手续。优化立体</w:t>
      </w:r>
      <w:r>
        <w:rPr>
          <w:rFonts w:eastAsia="方正仿宋_GBK"/>
          <w:color w:val="000000"/>
          <w:sz w:val="32"/>
          <w:szCs w:val="32"/>
          <w:lang/>
        </w:rPr>
        <w:t>空间出让金计算规则，空中连廊（跨地块）及地下一层出让价款按地表同用途基准地价</w:t>
      </w:r>
      <w:r>
        <w:rPr>
          <w:rFonts w:eastAsia="方正仿宋_GBK"/>
          <w:color w:val="000000"/>
          <w:sz w:val="32"/>
          <w:szCs w:val="32"/>
          <w:lang/>
        </w:rPr>
        <w:t>30%</w:t>
      </w:r>
      <w:r>
        <w:rPr>
          <w:rFonts w:eastAsia="方正仿宋_GBK"/>
          <w:color w:val="000000"/>
          <w:sz w:val="32"/>
          <w:szCs w:val="32"/>
          <w:lang/>
        </w:rPr>
        <w:t>收取，地下二层按地下一层标准的</w:t>
      </w:r>
      <w:r>
        <w:rPr>
          <w:rFonts w:eastAsia="方正仿宋_GBK"/>
          <w:color w:val="000000"/>
          <w:sz w:val="32"/>
          <w:szCs w:val="32"/>
          <w:lang/>
        </w:rPr>
        <w:t>50%</w:t>
      </w:r>
      <w:r>
        <w:rPr>
          <w:rFonts w:eastAsia="方正仿宋_GBK"/>
          <w:color w:val="000000"/>
          <w:sz w:val="32"/>
          <w:szCs w:val="32"/>
          <w:lang/>
        </w:rPr>
        <w:t>收取，地下三层及以下免收出让价款；鼓励充分利用地下空间，结建地下空间除确定为商业用途外可暂免缴纳出让金。探索开展立体三</w:t>
      </w:r>
      <w:r>
        <w:rPr>
          <w:rFonts w:eastAsia="方正仿宋_GBK"/>
          <w:color w:val="000000"/>
          <w:sz w:val="32"/>
          <w:szCs w:val="32"/>
        </w:rPr>
        <w:t>维不动产登记。</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立体空间开发应满足消防、结构等安全及环保要求。建设空中连廊应符合城市风貌管控及廊下净高、通行等要求，地下空间开发应与城市轨道、市政管线、绿化覆土等相衔接</w:t>
      </w:r>
      <w:r>
        <w:rPr>
          <w:rFonts w:eastAsia="方正仿宋_GBK"/>
          <w:color w:val="000000"/>
          <w:sz w:val="32"/>
          <w:szCs w:val="32"/>
        </w:rPr>
        <w:t>，并优先满足地表开发项目的停车、人防等配建需求。</w:t>
      </w:r>
    </w:p>
    <w:p w:rsidR="00700147" w:rsidRDefault="004F6D84">
      <w:pPr>
        <w:spacing w:line="560" w:lineRule="exact"/>
        <w:ind w:firstLineChars="200" w:firstLine="640"/>
        <w:rPr>
          <w:rFonts w:eastAsia="方正黑体_GBK"/>
          <w:color w:val="000000"/>
          <w:sz w:val="32"/>
          <w:szCs w:val="32"/>
        </w:rPr>
      </w:pPr>
      <w:r>
        <w:rPr>
          <w:rFonts w:eastAsia="方正黑体_GBK"/>
          <w:color w:val="000000"/>
          <w:sz w:val="32"/>
          <w:szCs w:val="32"/>
        </w:rPr>
        <w:t>二、探索近远期统筹规划实施</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严格遵循</w:t>
      </w:r>
      <w:r>
        <w:rPr>
          <w:rFonts w:eastAsia="方正仿宋_GBK"/>
          <w:color w:val="000000"/>
          <w:sz w:val="32"/>
          <w:szCs w:val="32"/>
        </w:rPr>
        <w:t>“</w:t>
      </w:r>
      <w:r>
        <w:rPr>
          <w:rFonts w:eastAsia="方正仿宋_GBK"/>
          <w:color w:val="000000"/>
          <w:sz w:val="32"/>
          <w:szCs w:val="32"/>
        </w:rPr>
        <w:t>一张蓝图绘到底</w:t>
      </w:r>
      <w:r>
        <w:rPr>
          <w:rFonts w:eastAsia="方正仿宋_GBK"/>
          <w:color w:val="000000"/>
          <w:sz w:val="32"/>
          <w:szCs w:val="32"/>
        </w:rPr>
        <w:t>”</w:t>
      </w:r>
      <w:r>
        <w:rPr>
          <w:rFonts w:eastAsia="方正仿宋_GBK"/>
          <w:color w:val="000000"/>
          <w:sz w:val="32"/>
          <w:szCs w:val="32"/>
        </w:rPr>
        <w:t>要求，尊重规划实施客观规律，探索近远期统筹开发模式，通过预控锚固远期规划，合理保障近期开发利用，可持续推进规划实施。</w:t>
      </w:r>
    </w:p>
    <w:p w:rsidR="00700147" w:rsidRDefault="004F6D84">
      <w:pPr>
        <w:spacing w:line="560" w:lineRule="exact"/>
        <w:ind w:firstLineChars="200" w:firstLine="640"/>
        <w:outlineLvl w:val="1"/>
        <w:rPr>
          <w:rFonts w:eastAsia="方正楷体_GBK"/>
          <w:color w:val="000000"/>
          <w:sz w:val="32"/>
          <w:szCs w:val="32"/>
        </w:rPr>
      </w:pPr>
      <w:r>
        <w:rPr>
          <w:rFonts w:eastAsia="方正楷体_GBK"/>
          <w:color w:val="000000"/>
          <w:sz w:val="32"/>
          <w:szCs w:val="32"/>
        </w:rPr>
        <w:t>（四）探索土地短期开发利用。</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在不影响远期规划实施、不恶化邻避影响的前提下，对已完成征收补偿的批而未供、储而未供土地，经市（县）区政府集体决策近远期规划管控要求，编制近期规划图则纳入详细规划，指导土地短期开发利用。短期开发不得新建地下室及高层建筑，鼓励采用装配式建造方式，降低远期开发土地整</w:t>
      </w:r>
      <w:r>
        <w:rPr>
          <w:rFonts w:eastAsia="方正仿宋_GBK"/>
          <w:color w:val="000000"/>
          <w:sz w:val="32"/>
          <w:szCs w:val="32"/>
        </w:rPr>
        <w:t>备成本。</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土地短期开发利用</w:t>
      </w:r>
      <w:r>
        <w:rPr>
          <w:rFonts w:eastAsia="方正仿宋_GBK"/>
          <w:color w:val="000000"/>
          <w:sz w:val="32"/>
          <w:szCs w:val="32"/>
          <w:lang/>
        </w:rPr>
        <w:t>年限原则上不超过</w:t>
      </w:r>
      <w:r>
        <w:rPr>
          <w:rFonts w:eastAsia="方正仿宋_GBK"/>
          <w:color w:val="000000"/>
          <w:sz w:val="32"/>
          <w:szCs w:val="32"/>
          <w:lang/>
        </w:rPr>
        <w:t>10</w:t>
      </w:r>
      <w:r>
        <w:rPr>
          <w:rFonts w:eastAsia="方正仿宋_GBK"/>
          <w:color w:val="000000"/>
          <w:sz w:val="32"/>
          <w:szCs w:val="32"/>
          <w:lang/>
        </w:rPr>
        <w:t>年，可按规定采取带年期划拨或短期公开租赁方式办理用地手续，市（县）</w:t>
      </w:r>
      <w:r>
        <w:rPr>
          <w:rFonts w:eastAsia="方正仿宋_GBK"/>
          <w:color w:val="000000"/>
          <w:sz w:val="32"/>
          <w:szCs w:val="32"/>
        </w:rPr>
        <w:t>区政府须与使用单位签订监管协议，对期限届满无偿收回、</w:t>
      </w:r>
      <w:r>
        <w:rPr>
          <w:rFonts w:eastAsia="方正仿宋_GBK"/>
          <w:color w:val="000000"/>
          <w:sz w:val="32"/>
          <w:szCs w:val="32"/>
        </w:rPr>
        <w:lastRenderedPageBreak/>
        <w:t>特殊情形提前收回、批准续期继续使用等情形作出约定。土地短期开发利用项目纳入基本建设程序管理，不动产登记注记相应年限。</w:t>
      </w:r>
    </w:p>
    <w:p w:rsidR="00700147" w:rsidRDefault="004F6D84">
      <w:pPr>
        <w:numPr>
          <w:ilvl w:val="0"/>
          <w:numId w:val="1"/>
        </w:numPr>
        <w:spacing w:line="560" w:lineRule="exact"/>
        <w:ind w:firstLineChars="200" w:firstLine="640"/>
        <w:outlineLvl w:val="1"/>
        <w:rPr>
          <w:rFonts w:eastAsia="方正楷体_GBK"/>
          <w:color w:val="000000"/>
          <w:sz w:val="32"/>
          <w:szCs w:val="32"/>
        </w:rPr>
      </w:pPr>
      <w:r>
        <w:rPr>
          <w:rFonts w:eastAsia="方正楷体_GBK"/>
          <w:color w:val="000000"/>
          <w:sz w:val="32"/>
          <w:szCs w:val="32"/>
        </w:rPr>
        <w:t>探索规划留白用地管理。</w:t>
      </w:r>
      <w:r>
        <w:rPr>
          <w:rFonts w:eastAsia="方正仿宋_GBK"/>
          <w:color w:val="000000"/>
          <w:sz w:val="32"/>
          <w:szCs w:val="32"/>
        </w:rPr>
        <w:t>因开发方向和用途暂不清晰，为城镇远期发展预留的后备地区，可规划为留白用地。留白用地仅需编制单元层级详细规划，主导用途按正负面清单管理，待发展思路清晰后，再编制街区层级详细规划，细化地块规划图则。留白用地内的存量资源可按照单元层级主导用途的正面清单进行</w:t>
      </w:r>
      <w:r>
        <w:rPr>
          <w:rFonts w:eastAsia="方正仿宋_GBK" w:hint="eastAsia"/>
          <w:color w:val="000000"/>
          <w:sz w:val="32"/>
          <w:szCs w:val="32"/>
        </w:rPr>
        <w:t>短期</w:t>
      </w:r>
      <w:r>
        <w:rPr>
          <w:rFonts w:eastAsia="方正仿宋_GBK"/>
          <w:color w:val="000000"/>
          <w:sz w:val="32"/>
          <w:szCs w:val="32"/>
        </w:rPr>
        <w:t>使用。</w:t>
      </w:r>
    </w:p>
    <w:p w:rsidR="00700147" w:rsidRDefault="004F6D84">
      <w:pPr>
        <w:numPr>
          <w:ilvl w:val="0"/>
          <w:numId w:val="2"/>
        </w:numPr>
        <w:spacing w:line="560" w:lineRule="exact"/>
        <w:outlineLvl w:val="0"/>
        <w:rPr>
          <w:rFonts w:eastAsia="方正黑体_GBK"/>
          <w:color w:val="000000"/>
          <w:sz w:val="32"/>
          <w:szCs w:val="32"/>
        </w:rPr>
      </w:pPr>
      <w:r>
        <w:rPr>
          <w:rFonts w:eastAsia="方正黑体_GBK"/>
          <w:color w:val="000000"/>
          <w:sz w:val="32"/>
          <w:szCs w:val="32"/>
        </w:rPr>
        <w:t>鼓励存量资源提质增效</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落实土地集约节约利用政策，通过既有建筑临时利用、带建筑物供地等方式，盘活存量空间，提高土地资源配置和管理效率。</w:t>
      </w:r>
    </w:p>
    <w:p w:rsidR="00700147" w:rsidRDefault="004F6D84">
      <w:pPr>
        <w:spacing w:line="560" w:lineRule="exact"/>
        <w:ind w:firstLineChars="200" w:firstLine="640"/>
        <w:rPr>
          <w:rFonts w:eastAsia="方正仿宋_GBK"/>
          <w:color w:val="000000"/>
          <w:sz w:val="32"/>
          <w:szCs w:val="32"/>
        </w:rPr>
      </w:pPr>
      <w:r>
        <w:rPr>
          <w:rFonts w:eastAsia="方正楷体_GBK"/>
          <w:color w:val="000000"/>
          <w:sz w:val="32"/>
          <w:szCs w:val="32"/>
        </w:rPr>
        <w:t>（六）允许既有建筑临时利用。</w:t>
      </w:r>
      <w:r>
        <w:rPr>
          <w:rFonts w:eastAsia="方正仿宋_GBK"/>
          <w:color w:val="000000"/>
          <w:sz w:val="32"/>
          <w:szCs w:val="32"/>
        </w:rPr>
        <w:t>对经市（县）区政府确认暂无征收计划、有合法产权的既有建筑，符合国家、省、市过渡期政策要求</w:t>
      </w:r>
      <w:r>
        <w:rPr>
          <w:rFonts w:eastAsia="方正仿宋_GBK"/>
          <w:color w:val="000000"/>
          <w:sz w:val="32"/>
          <w:szCs w:val="32"/>
        </w:rPr>
        <w:t>的，可进行功能临时转换。既有建筑功能临时转换，应满足消防、结构安全及环保、行业等要求，经市（县）区政府同意后纳入城市更新项目管理，无需办理规划用地手续。既有建筑功能临时转换期限不超过五年。</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既有建筑临时功能转换部分不得增加可销售面积、分割转让、分割办证、</w:t>
      </w:r>
      <w:r>
        <w:rPr>
          <w:rFonts w:eastAsia="方正仿宋_GBK"/>
          <w:color w:val="000000"/>
          <w:sz w:val="32"/>
          <w:szCs w:val="32"/>
        </w:rPr>
        <w:t>“</w:t>
      </w:r>
      <w:r>
        <w:rPr>
          <w:rFonts w:eastAsia="方正仿宋_GBK"/>
          <w:color w:val="000000"/>
          <w:sz w:val="32"/>
          <w:szCs w:val="32"/>
        </w:rPr>
        <w:t>以租代售</w:t>
      </w:r>
      <w:r>
        <w:rPr>
          <w:rFonts w:eastAsia="方正仿宋_GBK"/>
          <w:color w:val="000000"/>
          <w:sz w:val="32"/>
          <w:szCs w:val="32"/>
        </w:rPr>
        <w:t>”</w:t>
      </w:r>
      <w:r>
        <w:rPr>
          <w:rFonts w:eastAsia="方正仿宋_GBK"/>
          <w:color w:val="000000"/>
          <w:sz w:val="32"/>
          <w:szCs w:val="32"/>
        </w:rPr>
        <w:t>、改作商品住宅。过渡期满，属地政府负责督促恢复原状或完善规划用地手续，符合用地兼容负面清单管理的，可免于办理规划用地手续。</w:t>
      </w:r>
    </w:p>
    <w:p w:rsidR="00700147" w:rsidRDefault="004F6D84">
      <w:pPr>
        <w:spacing w:line="560" w:lineRule="exact"/>
        <w:ind w:firstLineChars="200" w:firstLine="640"/>
        <w:rPr>
          <w:rFonts w:eastAsia="方正仿宋_GBK"/>
          <w:color w:val="000000"/>
          <w:sz w:val="32"/>
          <w:szCs w:val="32"/>
        </w:rPr>
      </w:pPr>
      <w:r>
        <w:rPr>
          <w:rFonts w:eastAsia="方正楷体_GBK"/>
          <w:color w:val="000000"/>
          <w:sz w:val="32"/>
          <w:szCs w:val="32"/>
        </w:rPr>
        <w:t>（七）规范既有建筑规划用地手续完善。</w:t>
      </w:r>
      <w:r>
        <w:rPr>
          <w:rFonts w:eastAsia="方正仿宋_GBK"/>
          <w:color w:val="000000"/>
          <w:sz w:val="32"/>
          <w:szCs w:val="32"/>
        </w:rPr>
        <w:t>城市更新中，</w:t>
      </w:r>
      <w:r>
        <w:rPr>
          <w:rFonts w:eastAsia="方正仿宋_GBK"/>
          <w:color w:val="000000"/>
          <w:sz w:val="32"/>
          <w:szCs w:val="32"/>
        </w:rPr>
        <w:lastRenderedPageBreak/>
        <w:t>符合规划要求并经市（县）区政府论证确需并有条件保留的存量建筑，可通过带建筑</w:t>
      </w:r>
      <w:r>
        <w:rPr>
          <w:rFonts w:eastAsia="方正仿宋_GBK"/>
          <w:color w:val="000000"/>
          <w:sz w:val="32"/>
          <w:szCs w:val="32"/>
        </w:rPr>
        <w:t>物划拨、租赁、先租后让、弹性出让等方式办理用地手续。其中因历史原因形成的规划用地建设手续不完善的建筑物，各市（县）区政府根据发生的不同时期依法依规分类妥善处置后，方可办理相关手续。</w:t>
      </w:r>
    </w:p>
    <w:p w:rsidR="00700147" w:rsidRDefault="004F6D84">
      <w:pPr>
        <w:spacing w:line="560" w:lineRule="exact"/>
        <w:ind w:firstLineChars="200" w:firstLine="640"/>
        <w:rPr>
          <w:rFonts w:eastAsia="方正仿宋_GBK"/>
          <w:color w:val="000000"/>
          <w:sz w:val="32"/>
          <w:szCs w:val="32"/>
        </w:rPr>
      </w:pPr>
      <w:r>
        <w:rPr>
          <w:rFonts w:eastAsia="方正仿宋_GBK"/>
          <w:color w:val="000000"/>
          <w:sz w:val="32"/>
          <w:szCs w:val="32"/>
        </w:rPr>
        <w:t>供地后，保留建筑物涉及改扩建的，纳入基本建设程序管理；不涉及改扩建的，由自然资源规划部门出具规划核实意见，住建部门按要求进行管理并出具竣工验收备案意见，不动产登记机构按规定办理不动产首次登记。</w:t>
      </w:r>
    </w:p>
    <w:p w:rsidR="00700147" w:rsidRDefault="004F6D84">
      <w:pPr>
        <w:spacing w:line="560" w:lineRule="exact"/>
        <w:ind w:firstLineChars="200" w:firstLine="640"/>
        <w:rPr>
          <w:rFonts w:eastAsia="方正仿宋_GBK"/>
          <w:color w:val="000000"/>
          <w:sz w:val="32"/>
          <w:szCs w:val="32"/>
          <w:lang/>
        </w:rPr>
      </w:pPr>
      <w:r>
        <w:rPr>
          <w:rFonts w:eastAsia="方正仿宋_GBK"/>
          <w:color w:val="000000"/>
          <w:sz w:val="32"/>
          <w:szCs w:val="32"/>
        </w:rPr>
        <w:t>本支持政策自印发之日起施</w:t>
      </w:r>
      <w:r>
        <w:rPr>
          <w:rFonts w:eastAsia="方正仿宋_GBK"/>
          <w:color w:val="000000"/>
          <w:sz w:val="32"/>
          <w:szCs w:val="32"/>
          <w:lang/>
        </w:rPr>
        <w:t>行</w:t>
      </w:r>
      <w:r>
        <w:rPr>
          <w:rFonts w:eastAsia="方正仿宋_GBK"/>
          <w:color w:val="000000"/>
          <w:sz w:val="32"/>
          <w:szCs w:val="32"/>
        </w:rPr>
        <w:t>。</w:t>
      </w:r>
    </w:p>
    <w:p w:rsidR="00700147" w:rsidRDefault="00700147"/>
    <w:p w:rsidR="00700147" w:rsidRDefault="00700147"/>
    <w:p w:rsidR="00700147" w:rsidRDefault="00700147">
      <w:pPr>
        <w:pStyle w:val="3"/>
        <w:rPr>
          <w:rFonts w:ascii="Times New Roman" w:hAnsi="Times New Roman" w:cs="Times New Roman"/>
        </w:rPr>
      </w:pPr>
    </w:p>
    <w:p w:rsidR="00700147" w:rsidRDefault="00700147"/>
    <w:p w:rsidR="00700147" w:rsidRDefault="00700147">
      <w:pPr>
        <w:pStyle w:val="3"/>
        <w:rPr>
          <w:rFonts w:ascii="Times New Roman" w:hAnsi="Times New Roman" w:cs="Times New Roman"/>
        </w:rPr>
      </w:pPr>
    </w:p>
    <w:p w:rsidR="00700147" w:rsidRDefault="00700147"/>
    <w:p w:rsidR="00700147" w:rsidRDefault="00700147">
      <w:pPr>
        <w:pStyle w:val="3"/>
        <w:rPr>
          <w:rFonts w:ascii="Times New Roman" w:hAnsi="Times New Roman" w:cs="Times New Roman"/>
        </w:rPr>
      </w:pPr>
    </w:p>
    <w:p w:rsidR="00700147" w:rsidRDefault="00700147"/>
    <w:p w:rsidR="00700147" w:rsidRDefault="00700147">
      <w:pPr>
        <w:pStyle w:val="3"/>
        <w:rPr>
          <w:rFonts w:ascii="Times New Roman" w:hAnsi="Times New Roman" w:cs="Times New Roman"/>
        </w:rPr>
      </w:pPr>
    </w:p>
    <w:p w:rsidR="00700147" w:rsidRDefault="00700147"/>
    <w:p w:rsidR="00700147" w:rsidRDefault="00700147">
      <w:pPr>
        <w:pStyle w:val="3"/>
        <w:rPr>
          <w:rFonts w:ascii="Times New Roman" w:hAnsi="Times New Roman" w:cs="Times New Roman"/>
        </w:rPr>
      </w:pPr>
    </w:p>
    <w:p w:rsidR="00700147" w:rsidRDefault="00700147"/>
    <w:p w:rsidR="00700147" w:rsidRDefault="00700147">
      <w:pPr>
        <w:pStyle w:val="3"/>
        <w:rPr>
          <w:rFonts w:ascii="Times New Roman" w:hAnsi="Times New Roman" w:cs="Times New Roman"/>
        </w:rPr>
      </w:pPr>
    </w:p>
    <w:p w:rsidR="00700147" w:rsidRDefault="00700147"/>
    <w:p w:rsidR="00700147" w:rsidRDefault="00700147">
      <w:pPr>
        <w:pStyle w:val="3"/>
        <w:rPr>
          <w:rFonts w:ascii="Times New Roman" w:hAnsi="Times New Roman" w:cs="Times New Roman"/>
        </w:rPr>
      </w:pPr>
    </w:p>
    <w:p w:rsidR="00700147" w:rsidRDefault="00700147"/>
    <w:p w:rsidR="00700147" w:rsidRDefault="00700147">
      <w:pPr>
        <w:spacing w:line="560" w:lineRule="exact"/>
        <w:outlineLvl w:val="0"/>
      </w:pPr>
    </w:p>
    <w:p w:rsidR="00700147" w:rsidRDefault="00700147"/>
    <w:sectPr w:rsidR="00700147" w:rsidSect="0070014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D84" w:rsidRDefault="004F6D84" w:rsidP="004F6D84">
      <w:r>
        <w:separator/>
      </w:r>
    </w:p>
  </w:endnote>
  <w:endnote w:type="continuationSeparator" w:id="1">
    <w:p w:rsidR="004F6D84" w:rsidRDefault="004F6D84" w:rsidP="004F6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D84" w:rsidRDefault="004F6D84" w:rsidP="004F6D84">
      <w:r>
        <w:separator/>
      </w:r>
    </w:p>
  </w:footnote>
  <w:footnote w:type="continuationSeparator" w:id="1">
    <w:p w:rsidR="004F6D84" w:rsidRDefault="004F6D84" w:rsidP="004F6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79F6D1"/>
    <w:multiLevelType w:val="singleLevel"/>
    <w:tmpl w:val="FD79F6D1"/>
    <w:lvl w:ilvl="0">
      <w:start w:val="5"/>
      <w:numFmt w:val="chineseCounting"/>
      <w:suff w:val="nothing"/>
      <w:lvlText w:val="（%1）"/>
      <w:lvlJc w:val="left"/>
      <w:rPr>
        <w:rFonts w:hint="eastAsia"/>
      </w:rPr>
    </w:lvl>
  </w:abstractNum>
  <w:abstractNum w:abstractNumId="1">
    <w:nsid w:val="066E5614"/>
    <w:multiLevelType w:val="multilevel"/>
    <w:tmpl w:val="066E5614"/>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3C061F"/>
    <w:rsid w:val="004F6D84"/>
    <w:rsid w:val="00700147"/>
    <w:rsid w:val="2E3C061F"/>
    <w:rsid w:val="764A59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700147"/>
    <w:pPr>
      <w:widowControl w:val="0"/>
      <w:jc w:val="both"/>
    </w:pPr>
    <w:rPr>
      <w:rFonts w:ascii="Times New Roman" w:eastAsia="宋体" w:hAnsi="Times New Roman" w:cs="Times New Roman"/>
      <w:kern w:val="2"/>
      <w:sz w:val="21"/>
      <w:szCs w:val="22"/>
    </w:rPr>
  </w:style>
  <w:style w:type="paragraph" w:styleId="3">
    <w:name w:val="heading 3"/>
    <w:basedOn w:val="a"/>
    <w:next w:val="a"/>
    <w:uiPriority w:val="9"/>
    <w:qFormat/>
    <w:rsid w:val="00700147"/>
    <w:pPr>
      <w:widowControl/>
      <w:shd w:val="clear" w:color="auto" w:fill="FFFFFF"/>
      <w:spacing w:line="360" w:lineRule="auto"/>
      <w:jc w:val="left"/>
      <w:outlineLvl w:val="2"/>
    </w:pPr>
    <w:rPr>
      <w:rFonts w:ascii="仿宋" w:eastAsia="仿宋" w:hAnsi="仿宋" w:cs="宋体"/>
      <w:b/>
      <w:bCs/>
      <w:color w:val="0F1115"/>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6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6D84"/>
    <w:rPr>
      <w:rFonts w:ascii="Times New Roman" w:eastAsia="宋体" w:hAnsi="Times New Roman" w:cs="Times New Roman"/>
      <w:kern w:val="2"/>
      <w:sz w:val="18"/>
      <w:szCs w:val="18"/>
    </w:rPr>
  </w:style>
  <w:style w:type="paragraph" w:styleId="a4">
    <w:name w:val="footer"/>
    <w:basedOn w:val="a"/>
    <w:link w:val="Char0"/>
    <w:rsid w:val="004F6D84"/>
    <w:pPr>
      <w:tabs>
        <w:tab w:val="center" w:pos="4153"/>
        <w:tab w:val="right" w:pos="8306"/>
      </w:tabs>
      <w:snapToGrid w:val="0"/>
      <w:jc w:val="left"/>
    </w:pPr>
    <w:rPr>
      <w:sz w:val="18"/>
      <w:szCs w:val="18"/>
    </w:rPr>
  </w:style>
  <w:style w:type="character" w:customStyle="1" w:styleId="Char0">
    <w:name w:val="页脚 Char"/>
    <w:basedOn w:val="a0"/>
    <w:link w:val="a4"/>
    <w:rsid w:val="004F6D8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2361</Words>
  <Characters>50</Characters>
  <Application>Microsoft Office Word</Application>
  <DocSecurity>0</DocSecurity>
  <Lines>1</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榻榻米</dc:creator>
  <cp:lastModifiedBy>Windows 用户</cp:lastModifiedBy>
  <cp:revision>2</cp:revision>
  <dcterms:created xsi:type="dcterms:W3CDTF">2026-02-26T05:26:00Z</dcterms:created>
  <dcterms:modified xsi:type="dcterms:W3CDTF">2026-03-03T05:52:00Z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9D616918003C4359A56795301AEA239B_11</vt:lpwstr>
  </property>
  <property fmtid="{D5CDD505-2E9C-101B-9397-08002B2CF9AE}" pid="4" name="KSOTemplateDocerSaveRecord">
    <vt:lpwstr>eyJoZGlkIjoiZWUxNWY5ZDRkOGRkMDI0NDYyNWE3NGFhNDcwZWY2MjciLCJ1c2VySWQiOiIzNTUyMzg0NDAifQ==</vt:lpwstr>
  </property>
</Properties>
</file>