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AB" w:rsidRDefault="00CD7B48">
      <w:pPr>
        <w:spacing w:line="560" w:lineRule="exact"/>
        <w:outlineLvl w:val="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rPr>
        <w:t>附件</w:t>
      </w:r>
      <w:r>
        <w:rPr>
          <w:rFonts w:ascii="方正黑体_GBK" w:eastAsia="方正黑体_GBK" w:hAnsi="方正黑体_GBK" w:cs="方正黑体_GBK" w:hint="eastAsia"/>
          <w:color w:val="000000"/>
          <w:sz w:val="32"/>
          <w:szCs w:val="32"/>
        </w:rPr>
        <w:t>3</w:t>
      </w:r>
      <w:bookmarkStart w:id="0" w:name="_GoBack"/>
      <w:bookmarkEnd w:id="0"/>
    </w:p>
    <w:p w:rsidR="00C13CAB" w:rsidRDefault="00C13CAB"/>
    <w:p w:rsidR="00C13CAB" w:rsidRDefault="00CD7B48">
      <w:pPr>
        <w:spacing w:line="560" w:lineRule="exact"/>
        <w:jc w:val="center"/>
        <w:rPr>
          <w:rFonts w:eastAsia="方正小标宋_GBK"/>
          <w:color w:val="000000"/>
          <w:sz w:val="44"/>
          <w:szCs w:val="44"/>
        </w:rPr>
      </w:pPr>
      <w:bookmarkStart w:id="1" w:name="OLE_LINK29"/>
      <w:bookmarkStart w:id="2" w:name="OLE_LINK30"/>
      <w:bookmarkStart w:id="3" w:name="OLE_LINK31"/>
      <w:r>
        <w:rPr>
          <w:rFonts w:eastAsia="方正小标宋_GBK"/>
          <w:color w:val="000000"/>
          <w:sz w:val="44"/>
          <w:szCs w:val="44"/>
        </w:rPr>
        <w:t>关于推进城市更新老旧住区零星改造提升</w:t>
      </w:r>
    </w:p>
    <w:p w:rsidR="00C13CAB" w:rsidRDefault="00CD7B48">
      <w:pPr>
        <w:spacing w:line="560" w:lineRule="exact"/>
        <w:jc w:val="center"/>
        <w:rPr>
          <w:rFonts w:eastAsia="方正小标宋_GBK"/>
          <w:color w:val="000000"/>
          <w:sz w:val="44"/>
          <w:szCs w:val="44"/>
        </w:rPr>
      </w:pPr>
      <w:r>
        <w:rPr>
          <w:rFonts w:eastAsia="方正小标宋_GBK"/>
          <w:color w:val="000000"/>
          <w:sz w:val="44"/>
          <w:szCs w:val="44"/>
        </w:rPr>
        <w:t>的若干规划用地支持政策</w:t>
      </w:r>
    </w:p>
    <w:p w:rsidR="00C13CAB" w:rsidRDefault="00CD7B48">
      <w:pPr>
        <w:spacing w:line="560" w:lineRule="exact"/>
        <w:jc w:val="center"/>
        <w:outlineLvl w:val="0"/>
        <w:rPr>
          <w:rFonts w:eastAsia="方正楷体_GBK"/>
          <w:color w:val="000000"/>
          <w:sz w:val="32"/>
          <w:szCs w:val="32"/>
        </w:rPr>
      </w:pPr>
      <w:r>
        <w:rPr>
          <w:rFonts w:eastAsia="方正楷体_GBK"/>
          <w:color w:val="000000"/>
          <w:sz w:val="32"/>
          <w:szCs w:val="32"/>
        </w:rPr>
        <w:t>（</w:t>
      </w:r>
      <w:r>
        <w:rPr>
          <w:rFonts w:eastAsia="方正楷体_GBK" w:hint="eastAsia"/>
          <w:color w:val="000000"/>
          <w:sz w:val="32"/>
          <w:szCs w:val="32"/>
        </w:rPr>
        <w:t>征求意见</w:t>
      </w:r>
      <w:r>
        <w:rPr>
          <w:rFonts w:eastAsia="方正楷体_GBK"/>
          <w:color w:val="000000"/>
          <w:sz w:val="32"/>
          <w:szCs w:val="32"/>
        </w:rPr>
        <w:t>稿）</w:t>
      </w:r>
    </w:p>
    <w:p w:rsidR="00C13CAB" w:rsidRDefault="00C13CAB">
      <w:pPr>
        <w:spacing w:line="560" w:lineRule="exact"/>
        <w:ind w:firstLineChars="200" w:firstLine="640"/>
        <w:rPr>
          <w:rFonts w:eastAsia="方正仿宋_GBK"/>
          <w:color w:val="000000"/>
          <w:sz w:val="32"/>
          <w:szCs w:val="32"/>
        </w:rPr>
      </w:pPr>
    </w:p>
    <w:p w:rsidR="00C13CAB" w:rsidRDefault="00CD7B48">
      <w:pPr>
        <w:spacing w:line="560" w:lineRule="exact"/>
        <w:ind w:firstLineChars="200" w:firstLine="640"/>
        <w:rPr>
          <w:rFonts w:eastAsia="方正仿宋_GBK"/>
          <w:color w:val="000000"/>
          <w:sz w:val="32"/>
          <w:szCs w:val="32"/>
        </w:rPr>
      </w:pPr>
      <w:bookmarkStart w:id="4" w:name="OLE_LINK42"/>
      <w:bookmarkStart w:id="5" w:name="OLE_LINK43"/>
      <w:r>
        <w:rPr>
          <w:rFonts w:eastAsia="方正仿宋_GBK"/>
          <w:color w:val="000000"/>
          <w:sz w:val="32"/>
          <w:szCs w:val="32"/>
        </w:rPr>
        <w:t>为落实中央城市工作会议精神，顺应城市更新趋势，促进居住条件改善、环境品质提升、公共服务配套完善，更好推进城镇开发边界内老旧住区零星改造提升等城市更新工作，经研究并结合我市工作实际，制定以下支持政策。</w:t>
      </w:r>
      <w:bookmarkEnd w:id="4"/>
      <w:bookmarkEnd w:id="5"/>
    </w:p>
    <w:p w:rsidR="00C13CAB" w:rsidRDefault="00CD7B48">
      <w:pPr>
        <w:spacing w:line="560" w:lineRule="exact"/>
        <w:ind w:firstLineChars="200" w:firstLine="640"/>
        <w:rPr>
          <w:rFonts w:eastAsia="方正黑体_GBK"/>
          <w:color w:val="000000"/>
          <w:sz w:val="32"/>
          <w:szCs w:val="32"/>
        </w:rPr>
      </w:pPr>
      <w:r>
        <w:rPr>
          <w:rFonts w:eastAsia="方正黑体_GBK"/>
          <w:color w:val="000000"/>
          <w:sz w:val="32"/>
          <w:szCs w:val="32"/>
        </w:rPr>
        <w:t>一、支持零星地块规划指标</w:t>
      </w:r>
      <w:bookmarkStart w:id="6" w:name="OLE_LINK13"/>
      <w:r>
        <w:rPr>
          <w:rFonts w:eastAsia="方正黑体_GBK"/>
          <w:color w:val="000000"/>
          <w:sz w:val="32"/>
          <w:szCs w:val="32"/>
        </w:rPr>
        <w:t>统筹平衡</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（一）</w:t>
      </w:r>
      <w:bookmarkStart w:id="7" w:name="OLE_LINK11"/>
      <w:bookmarkStart w:id="8" w:name="OLE_LINK12"/>
      <w:r>
        <w:rPr>
          <w:rFonts w:eastAsia="方正楷体_GBK"/>
          <w:color w:val="000000"/>
          <w:kern w:val="0"/>
          <w:sz w:val="32"/>
          <w:szCs w:val="32"/>
        </w:rPr>
        <w:t>支持详细规划地块指标统算。</w:t>
      </w:r>
      <w:r>
        <w:rPr>
          <w:rFonts w:eastAsia="方正仿宋_GBK"/>
          <w:color w:val="000000"/>
          <w:sz w:val="32"/>
          <w:szCs w:val="32"/>
        </w:rPr>
        <w:t>在详细规划中，允许合并或拆分地块，在不同地块之间相应进行容积率、建筑密度、绿地率及配套设施等指标统算。根据实施条件，部分指标可在街区范围内合理统算。</w:t>
      </w:r>
      <w:bookmarkEnd w:id="7"/>
      <w:bookmarkEnd w:id="8"/>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（二）支持零星地块整体出具规划条件。</w:t>
      </w:r>
      <w:r>
        <w:rPr>
          <w:rFonts w:eastAsia="方正仿宋_GBK"/>
          <w:color w:val="000000"/>
          <w:sz w:val="32"/>
          <w:szCs w:val="32"/>
        </w:rPr>
        <w:t>可将多个零星地块作为一宗地</w:t>
      </w:r>
      <w:r>
        <w:rPr>
          <w:rFonts w:eastAsia="方正仿宋_GBK" w:hint="eastAsia"/>
          <w:color w:val="000000"/>
          <w:sz w:val="32"/>
          <w:szCs w:val="32"/>
        </w:rPr>
        <w:t>整体</w:t>
      </w:r>
      <w:r>
        <w:rPr>
          <w:rFonts w:eastAsia="方正仿宋_GBK"/>
          <w:color w:val="000000"/>
          <w:sz w:val="32"/>
          <w:szCs w:val="32"/>
        </w:rPr>
        <w:t>出具规划条件，按照详细规划统算规则提出宗地整体指标和分地块细化指标，在不突破整体指标的前提下，可将分地块细化指标作为引导性内容，允许在分地块间统筹平衡。</w:t>
      </w:r>
    </w:p>
    <w:p w:rsidR="00C13CAB" w:rsidRDefault="00CD7B48">
      <w:pPr>
        <w:spacing w:line="560" w:lineRule="exact"/>
        <w:ind w:firstLineChars="200" w:firstLine="640"/>
        <w:rPr>
          <w:rFonts w:eastAsia="方正黑体_GBK"/>
          <w:color w:val="000000"/>
          <w:sz w:val="32"/>
          <w:szCs w:val="32"/>
        </w:rPr>
      </w:pPr>
      <w:bookmarkStart w:id="9" w:name="OLE_LINK23"/>
      <w:bookmarkEnd w:id="6"/>
      <w:r>
        <w:rPr>
          <w:rFonts w:eastAsia="方正黑体_GBK"/>
          <w:color w:val="000000"/>
          <w:sz w:val="32"/>
          <w:szCs w:val="32"/>
        </w:rPr>
        <w:t>二、探索老旧小区改造容积率激励政策</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（三）民生公益项目新增建筑面积视为符合规划。</w:t>
      </w:r>
      <w:bookmarkStart w:id="10" w:name="OLE_LINK41"/>
      <w:bookmarkStart w:id="11" w:name="OLE_LINK39"/>
      <w:bookmarkStart w:id="12" w:name="OLE_LINK40"/>
      <w:r>
        <w:rPr>
          <w:rFonts w:eastAsia="方正仿宋_GBK"/>
          <w:color w:val="000000"/>
          <w:sz w:val="32"/>
          <w:szCs w:val="32"/>
        </w:rPr>
        <w:t>为保障居民基本生活需求、补齐城市短板而实施的市政基础设施、公共服务设施、公共安全设施</w:t>
      </w:r>
      <w:bookmarkEnd w:id="10"/>
      <w:r>
        <w:rPr>
          <w:rFonts w:eastAsia="方正仿宋_GBK"/>
          <w:color w:val="000000"/>
          <w:sz w:val="32"/>
          <w:szCs w:val="32"/>
        </w:rPr>
        <w:t>项目</w:t>
      </w:r>
      <w:bookmarkEnd w:id="11"/>
      <w:bookmarkEnd w:id="12"/>
      <w:r>
        <w:rPr>
          <w:rFonts w:eastAsia="方正仿宋_GBK"/>
          <w:color w:val="000000"/>
          <w:sz w:val="32"/>
          <w:szCs w:val="32"/>
        </w:rPr>
        <w:t>，以及</w:t>
      </w:r>
      <w:bookmarkStart w:id="13" w:name="OLE_LINK32"/>
      <w:bookmarkStart w:id="14" w:name="OLE_LINK9"/>
      <w:r>
        <w:rPr>
          <w:rFonts w:eastAsia="方正仿宋_GBK"/>
          <w:color w:val="000000"/>
          <w:sz w:val="32"/>
          <w:szCs w:val="32"/>
        </w:rPr>
        <w:t>危旧住房成套化</w:t>
      </w:r>
      <w:bookmarkEnd w:id="13"/>
      <w:bookmarkEnd w:id="14"/>
      <w:r>
        <w:rPr>
          <w:rFonts w:eastAsia="方正仿宋_GBK"/>
          <w:color w:val="000000"/>
          <w:sz w:val="32"/>
          <w:szCs w:val="32"/>
        </w:rPr>
        <w:t>改造项目，其新增建筑面积可不受规划容积率指标制约，视为</w:t>
      </w:r>
      <w:r>
        <w:rPr>
          <w:rFonts w:eastAsia="方正仿宋_GBK"/>
          <w:color w:val="000000"/>
          <w:sz w:val="32"/>
          <w:szCs w:val="32"/>
        </w:rPr>
        <w:lastRenderedPageBreak/>
        <w:t>符合详细规划。</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（四）增设必要附属设施建筑面积可不计容。</w:t>
      </w:r>
      <w:r>
        <w:rPr>
          <w:rFonts w:eastAsia="方正仿宋_GBK"/>
          <w:color w:val="000000"/>
          <w:sz w:val="32"/>
          <w:szCs w:val="32"/>
        </w:rPr>
        <w:t>为满足安全、环保、无障碍标准等要求，对于增设必要的楼梯、电梯、公共走廊、无障碍设施、风道、外墙保温等附属设施及公共景观休憩设施，其建筑面积可不计入容积率。</w:t>
      </w:r>
    </w:p>
    <w:p w:rsidR="00C13CAB" w:rsidRDefault="00CD7B48">
      <w:pPr>
        <w:spacing w:line="560" w:lineRule="exact"/>
        <w:ind w:firstLineChars="200" w:firstLine="640"/>
        <w:rPr>
          <w:rFonts w:eastAsia="方正黑体_GBK"/>
          <w:color w:val="000000"/>
          <w:sz w:val="32"/>
          <w:szCs w:val="32"/>
        </w:rPr>
      </w:pPr>
      <w:r>
        <w:rPr>
          <w:rFonts w:eastAsia="方正黑体_GBK"/>
          <w:color w:val="000000"/>
          <w:sz w:val="32"/>
          <w:szCs w:val="32"/>
        </w:rPr>
        <w:t>三、支持零星地块组合供应</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（五）</w:t>
      </w:r>
      <w:bookmarkStart w:id="15" w:name="OLE_LINK44"/>
      <w:bookmarkStart w:id="16" w:name="OLE_LINK45"/>
      <w:r>
        <w:rPr>
          <w:rFonts w:eastAsia="方正楷体_GBK"/>
          <w:color w:val="000000"/>
          <w:kern w:val="0"/>
          <w:sz w:val="32"/>
          <w:szCs w:val="32"/>
        </w:rPr>
        <w:t>支持零星地块组合供应。</w:t>
      </w:r>
      <w:bookmarkStart w:id="17" w:name="OLE_LINK46"/>
      <w:bookmarkStart w:id="18" w:name="OLE_LINK47"/>
      <w:bookmarkEnd w:id="15"/>
      <w:bookmarkEnd w:id="16"/>
      <w:r>
        <w:rPr>
          <w:rFonts w:eastAsia="方正仿宋_GBK"/>
          <w:color w:val="000000"/>
          <w:sz w:val="32"/>
          <w:szCs w:val="32"/>
        </w:rPr>
        <w:t>更新项目包含多个分散地块的，在按同一宗地管理和明确每个分散地块规划管控要求前提下可整体供应，整体签订有偿使用合同或核发划拨决定书。</w:t>
      </w:r>
      <w:bookmarkEnd w:id="17"/>
      <w:bookmarkEnd w:id="18"/>
    </w:p>
    <w:p w:rsidR="00C13CAB" w:rsidRDefault="00CD7B48">
      <w:pPr>
        <w:pStyle w:val="a3"/>
        <w:widowControl/>
        <w:shd w:val="clear" w:color="auto" w:fill="FFFFFF"/>
        <w:spacing w:before="0" w:beforeAutospacing="0" w:after="0" w:afterAutospacing="0" w:line="560" w:lineRule="exact"/>
        <w:ind w:firstLineChars="200" w:firstLine="640"/>
        <w:rPr>
          <w:rFonts w:eastAsia="方正仿宋_GBK"/>
          <w:color w:val="000000"/>
          <w:sz w:val="32"/>
          <w:szCs w:val="32"/>
        </w:rPr>
      </w:pPr>
      <w:bookmarkStart w:id="19" w:name="OLE_LINK48"/>
      <w:r>
        <w:rPr>
          <w:rFonts w:eastAsia="方正楷体_GBK"/>
          <w:color w:val="000000"/>
          <w:sz w:val="32"/>
          <w:szCs w:val="32"/>
        </w:rPr>
        <w:t>（六）支持用地性质混合供应</w:t>
      </w:r>
      <w:r>
        <w:rPr>
          <w:rFonts w:eastAsia="方正仿宋_GBK"/>
          <w:color w:val="000000"/>
          <w:sz w:val="32"/>
          <w:szCs w:val="32"/>
        </w:rPr>
        <w:t>。为完善提升老旧小区生活品质，支持同一地块内用途互利的功能混合布置，但应符合</w:t>
      </w:r>
      <w:r>
        <w:rPr>
          <w:rFonts w:eastAsia="方正仿宋_GBK" w:hint="eastAsia"/>
          <w:color w:val="000000"/>
          <w:sz w:val="32"/>
          <w:szCs w:val="32"/>
        </w:rPr>
        <w:t>混合用地</w:t>
      </w:r>
      <w:r>
        <w:rPr>
          <w:rFonts w:eastAsia="方正仿宋_GBK"/>
          <w:color w:val="000000"/>
          <w:sz w:val="32"/>
          <w:szCs w:val="32"/>
        </w:rPr>
        <w:t>负面清单管理要求，混</w:t>
      </w:r>
      <w:r>
        <w:rPr>
          <w:rFonts w:eastAsia="方正仿宋_GBK"/>
          <w:color w:val="000000"/>
          <w:sz w:val="32"/>
          <w:szCs w:val="32"/>
        </w:rPr>
        <w:t>合用地供应方式按主导用途确定。混合用地可根据不同用途分别确定使用年限，地价根据不同用途分项评估后按比例确定。</w:t>
      </w:r>
    </w:p>
    <w:bookmarkEnd w:id="19"/>
    <w:p w:rsidR="00C13CAB" w:rsidRDefault="00CD7B48">
      <w:pPr>
        <w:widowControl/>
        <w:shd w:val="clear" w:color="auto" w:fill="FFFFFF"/>
        <w:spacing w:line="560" w:lineRule="exact"/>
        <w:ind w:firstLineChars="200" w:firstLine="640"/>
        <w:rPr>
          <w:rFonts w:eastAsia="方正仿宋_GBK"/>
          <w:color w:val="000000"/>
          <w:sz w:val="32"/>
          <w:szCs w:val="32"/>
        </w:rPr>
      </w:pPr>
      <w:r>
        <w:rPr>
          <w:rFonts w:eastAsia="方正楷体_GBK"/>
          <w:color w:val="000000"/>
          <w:kern w:val="0"/>
          <w:sz w:val="32"/>
          <w:szCs w:val="32"/>
        </w:rPr>
        <w:t>（七）探索多元化供应方式。</w:t>
      </w:r>
      <w:bookmarkStart w:id="20" w:name="OLE_LINK74"/>
      <w:bookmarkStart w:id="21" w:name="OLE_LINK73"/>
      <w:r>
        <w:rPr>
          <w:rFonts w:eastAsia="方正仿宋_GBK"/>
          <w:color w:val="000000"/>
          <w:sz w:val="32"/>
          <w:szCs w:val="32"/>
        </w:rPr>
        <w:t>鼓励更新项目因地制宜灵活运用划拨、出让、租赁等多元供地方式，支持带方案、带建筑物出让等。其中城市更新中危旧住房因成套化改造增设厨房、卫生间等设施而增加的必要建筑面积，原土地权利为划拨的，新增部分仍以划拨方式办理。</w:t>
      </w:r>
    </w:p>
    <w:bookmarkEnd w:id="9"/>
    <w:bookmarkEnd w:id="20"/>
    <w:bookmarkEnd w:id="21"/>
    <w:p w:rsidR="00C13CAB" w:rsidRDefault="00CD7B48">
      <w:pPr>
        <w:spacing w:line="560" w:lineRule="exact"/>
        <w:ind w:firstLineChars="200" w:firstLine="640"/>
        <w:rPr>
          <w:rFonts w:eastAsia="方正黑体_GBK"/>
          <w:color w:val="000000"/>
          <w:sz w:val="32"/>
          <w:szCs w:val="32"/>
        </w:rPr>
      </w:pPr>
      <w:r>
        <w:rPr>
          <w:rFonts w:eastAsia="方正黑体_GBK"/>
          <w:color w:val="000000"/>
          <w:sz w:val="32"/>
          <w:szCs w:val="32"/>
        </w:rPr>
        <w:t>四、优化建设项目规划许可</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（八）</w:t>
      </w:r>
      <w:bookmarkStart w:id="22" w:name="OLE_LINK17"/>
      <w:bookmarkStart w:id="23" w:name="OLE_LINK16"/>
      <w:bookmarkStart w:id="24" w:name="OLE_LINK20"/>
      <w:r>
        <w:rPr>
          <w:rFonts w:eastAsia="方正楷体_GBK"/>
          <w:color w:val="000000"/>
          <w:kern w:val="0"/>
          <w:sz w:val="32"/>
          <w:szCs w:val="32"/>
        </w:rPr>
        <w:t>探索</w:t>
      </w:r>
      <w:r>
        <w:rPr>
          <w:rFonts w:eastAsia="方正楷体_GBK"/>
          <w:color w:val="000000"/>
          <w:kern w:val="0"/>
          <w:sz w:val="32"/>
          <w:szCs w:val="32"/>
        </w:rPr>
        <w:t>“</w:t>
      </w:r>
      <w:bookmarkStart w:id="25" w:name="OLE_LINK37"/>
      <w:bookmarkStart w:id="26" w:name="OLE_LINK38"/>
      <w:r>
        <w:rPr>
          <w:rFonts w:eastAsia="方正楷体_GBK"/>
          <w:color w:val="000000"/>
          <w:kern w:val="0"/>
          <w:sz w:val="32"/>
          <w:szCs w:val="32"/>
        </w:rPr>
        <w:t>优化不恶化</w:t>
      </w:r>
      <w:bookmarkEnd w:id="25"/>
      <w:bookmarkEnd w:id="26"/>
      <w:r>
        <w:rPr>
          <w:rFonts w:eastAsia="方正楷体_GBK"/>
          <w:color w:val="000000"/>
          <w:kern w:val="0"/>
          <w:sz w:val="32"/>
          <w:szCs w:val="32"/>
        </w:rPr>
        <w:t>”</w:t>
      </w:r>
      <w:r>
        <w:rPr>
          <w:rFonts w:eastAsia="方正楷体_GBK"/>
          <w:color w:val="000000"/>
          <w:kern w:val="0"/>
          <w:sz w:val="32"/>
          <w:szCs w:val="32"/>
        </w:rPr>
        <w:t>规划实施路径</w:t>
      </w:r>
      <w:bookmarkStart w:id="27" w:name="OLE_LINK18"/>
      <w:bookmarkStart w:id="28" w:name="OLE_LINK19"/>
      <w:bookmarkEnd w:id="22"/>
      <w:bookmarkEnd w:id="23"/>
      <w:r>
        <w:rPr>
          <w:rFonts w:eastAsia="方正楷体_GBK"/>
          <w:color w:val="000000"/>
          <w:kern w:val="0"/>
          <w:sz w:val="32"/>
          <w:szCs w:val="32"/>
        </w:rPr>
        <w:t>。</w:t>
      </w:r>
      <w:r>
        <w:rPr>
          <w:rFonts w:eastAsia="方正仿宋_GBK"/>
          <w:color w:val="000000"/>
          <w:sz w:val="32"/>
          <w:szCs w:val="32"/>
        </w:rPr>
        <w:t>更新项目因现状用地条件制约而无法执行现行规范的，可按照不低于现状标准的</w:t>
      </w:r>
      <w:r>
        <w:rPr>
          <w:rFonts w:eastAsia="方正仿宋_GBK"/>
          <w:color w:val="000000"/>
          <w:sz w:val="32"/>
          <w:szCs w:val="32"/>
        </w:rPr>
        <w:t>“</w:t>
      </w:r>
      <w:r>
        <w:rPr>
          <w:rFonts w:eastAsia="方正仿宋_GBK"/>
          <w:color w:val="000000"/>
          <w:sz w:val="32"/>
          <w:szCs w:val="32"/>
        </w:rPr>
        <w:t>优化不恶化</w:t>
      </w:r>
      <w:r>
        <w:rPr>
          <w:rFonts w:eastAsia="方正仿宋_GBK"/>
          <w:color w:val="000000"/>
          <w:sz w:val="32"/>
          <w:szCs w:val="32"/>
        </w:rPr>
        <w:t>”</w:t>
      </w:r>
      <w:r>
        <w:rPr>
          <w:rFonts w:eastAsia="方正仿宋_GBK"/>
          <w:color w:val="000000"/>
          <w:sz w:val="32"/>
          <w:szCs w:val="32"/>
        </w:rPr>
        <w:t>原则进行更新。</w:t>
      </w:r>
      <w:r>
        <w:rPr>
          <w:rFonts w:eastAsia="方正仿宋_GBK"/>
          <w:color w:val="000000"/>
          <w:sz w:val="32"/>
          <w:szCs w:val="32"/>
        </w:rPr>
        <w:t>更新项目方案应满足</w:t>
      </w:r>
      <w:r>
        <w:rPr>
          <w:rFonts w:eastAsia="方正仿宋_GBK" w:hint="eastAsia"/>
          <w:color w:val="000000"/>
          <w:sz w:val="32"/>
          <w:szCs w:val="32"/>
        </w:rPr>
        <w:t>环</w:t>
      </w:r>
      <w:r>
        <w:rPr>
          <w:rFonts w:eastAsia="方正仿宋_GBK" w:hint="eastAsia"/>
          <w:color w:val="000000"/>
          <w:sz w:val="32"/>
          <w:szCs w:val="32"/>
        </w:rPr>
        <w:lastRenderedPageBreak/>
        <w:t>保、</w:t>
      </w:r>
      <w:r>
        <w:rPr>
          <w:rFonts w:eastAsia="方正仿宋_GBK"/>
          <w:color w:val="000000"/>
          <w:sz w:val="32"/>
          <w:szCs w:val="32"/>
        </w:rPr>
        <w:t>消防、结构安全</w:t>
      </w:r>
      <w:r>
        <w:rPr>
          <w:rFonts w:eastAsia="方正仿宋_GBK" w:hint="eastAsia"/>
          <w:color w:val="000000"/>
          <w:sz w:val="32"/>
          <w:szCs w:val="32"/>
        </w:rPr>
        <w:t>等</w:t>
      </w:r>
      <w:r>
        <w:rPr>
          <w:rFonts w:eastAsia="方正仿宋_GBK"/>
          <w:color w:val="000000"/>
          <w:sz w:val="32"/>
          <w:szCs w:val="32"/>
        </w:rPr>
        <w:t>要求，进行指标优化比对分析，</w:t>
      </w:r>
      <w:r>
        <w:rPr>
          <w:rFonts w:eastAsia="方正仿宋_GBK" w:hint="eastAsia"/>
          <w:color w:val="000000"/>
          <w:sz w:val="32"/>
          <w:szCs w:val="32"/>
        </w:rPr>
        <w:t>征求相关利害人意见</w:t>
      </w:r>
      <w:r>
        <w:rPr>
          <w:rFonts w:eastAsia="方正仿宋_GBK"/>
          <w:color w:val="000000"/>
          <w:sz w:val="32"/>
          <w:szCs w:val="32"/>
        </w:rPr>
        <w:t>，经专家、部门审查通过后执行。鼓励采用实景三维底座进行数字化比对分析和多方案验证，尽可能提高城市更新人居品质。</w:t>
      </w:r>
    </w:p>
    <w:bookmarkEnd w:id="1"/>
    <w:bookmarkEnd w:id="2"/>
    <w:bookmarkEnd w:id="24"/>
    <w:bookmarkEnd w:id="27"/>
    <w:bookmarkEnd w:id="28"/>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w:t>
      </w:r>
      <w:bookmarkStart w:id="29" w:name="OLE_LINK50"/>
      <w:bookmarkStart w:id="30" w:name="OLE_LINK49"/>
      <w:r>
        <w:rPr>
          <w:rFonts w:eastAsia="方正楷体_GBK"/>
          <w:color w:val="000000"/>
          <w:kern w:val="0"/>
          <w:sz w:val="32"/>
          <w:szCs w:val="32"/>
        </w:rPr>
        <w:t>九</w:t>
      </w:r>
      <w:bookmarkEnd w:id="29"/>
      <w:bookmarkEnd w:id="30"/>
      <w:r>
        <w:rPr>
          <w:rFonts w:eastAsia="方正楷体_GBK"/>
          <w:color w:val="000000"/>
          <w:kern w:val="0"/>
          <w:sz w:val="32"/>
          <w:szCs w:val="32"/>
        </w:rPr>
        <w:t>）加强规划许可靠前服务。</w:t>
      </w:r>
      <w:r>
        <w:rPr>
          <w:rFonts w:eastAsia="方正仿宋_GBK"/>
          <w:color w:val="000000"/>
          <w:sz w:val="32"/>
          <w:szCs w:val="32"/>
        </w:rPr>
        <w:t>针对更新项目制约条件多、复杂程度高、需求多样化的特殊性</w:t>
      </w:r>
      <w:bookmarkStart w:id="31" w:name="OLE_LINK51"/>
      <w:r>
        <w:rPr>
          <w:rFonts w:eastAsia="方正仿宋_GBK"/>
          <w:color w:val="000000"/>
          <w:sz w:val="32"/>
          <w:szCs w:val="32"/>
        </w:rPr>
        <w:t>，</w:t>
      </w:r>
      <w:bookmarkEnd w:id="31"/>
      <w:r>
        <w:rPr>
          <w:rFonts w:eastAsia="方正仿宋_GBK"/>
          <w:color w:val="000000"/>
          <w:sz w:val="32"/>
          <w:szCs w:val="32"/>
        </w:rPr>
        <w:t>并联推进更新项目规划条件制定和方案预审，为带方案挂牌、带建筑物挂牌、分层供应、组合供应、存量改扩建等提供规划基础支撑，助推实施项目多证联发。</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（十）优化规划许可公示流程。</w:t>
      </w:r>
      <w:r>
        <w:rPr>
          <w:rFonts w:eastAsia="方正仿宋_GBK"/>
          <w:color w:val="000000"/>
          <w:sz w:val="32"/>
          <w:szCs w:val="32"/>
        </w:rPr>
        <w:t>更新项目实施方案达到建设工程设计方案深度的，可在更新意愿调查阶段提前同步公示建设工程设计方案，如涉及详细规划调整的，可在详细规划公示阶段提前同步公示建设工程设计方案。提前同步公示的，应符合建设工程设计方案公示内容和格式的要求，至办理建设工程规划许可时，如已公示方案未作调整的，可不再进行建设工程设计方案公示。</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（十一）优化规划许可豁免清单。</w:t>
      </w:r>
      <w:r>
        <w:rPr>
          <w:rFonts w:eastAsia="方正仿宋_GBK"/>
          <w:color w:val="000000"/>
          <w:sz w:val="32"/>
          <w:szCs w:val="32"/>
        </w:rPr>
        <w:t>将老旧小区改造、功能完善涉及的屋顶平改坡、加装电梯、增设专用消防钢楼梯、公厕、门卫、垃圾收集房等情形，以及符合用地兼容管理要求的既有合法建筑局部功能转换和改造，纳入规划许可</w:t>
      </w:r>
      <w:r>
        <w:rPr>
          <w:rFonts w:eastAsia="方正仿宋_GBK"/>
          <w:color w:val="000000"/>
          <w:sz w:val="32"/>
          <w:szCs w:val="32"/>
        </w:rPr>
        <w:t>豁免清单，豁免清单可进行动态完善。</w:t>
      </w:r>
      <w:bookmarkStart w:id="32" w:name="OLE_LINK52"/>
      <w:bookmarkStart w:id="33" w:name="OLE_LINK53"/>
      <w:r>
        <w:rPr>
          <w:rFonts w:eastAsia="方正仿宋_GBK"/>
          <w:color w:val="000000"/>
          <w:sz w:val="32"/>
          <w:szCs w:val="32"/>
        </w:rPr>
        <w:t>建立部门联动机制，按需通过联系单、方案联审等方式，实现城市更新项目的高效规划管理。</w:t>
      </w:r>
    </w:p>
    <w:p w:rsidR="00C13CAB" w:rsidRDefault="00CD7B48">
      <w:pPr>
        <w:spacing w:line="560" w:lineRule="exact"/>
        <w:ind w:firstLineChars="200" w:firstLine="640"/>
        <w:rPr>
          <w:rFonts w:eastAsia="方正黑体_GBK"/>
          <w:color w:val="000000"/>
          <w:sz w:val="32"/>
          <w:szCs w:val="32"/>
        </w:rPr>
      </w:pPr>
      <w:r>
        <w:rPr>
          <w:rFonts w:eastAsia="方正黑体_GBK"/>
          <w:color w:val="000000"/>
          <w:sz w:val="32"/>
          <w:szCs w:val="32"/>
        </w:rPr>
        <w:t>五、</w:t>
      </w:r>
      <w:bookmarkStart w:id="34" w:name="OLE_LINK55"/>
      <w:bookmarkStart w:id="35" w:name="OLE_LINK54"/>
      <w:r>
        <w:rPr>
          <w:rFonts w:eastAsia="方正黑体_GBK"/>
          <w:color w:val="000000"/>
          <w:sz w:val="32"/>
          <w:szCs w:val="32"/>
        </w:rPr>
        <w:t>深化不动产登记</w:t>
      </w:r>
      <w:bookmarkEnd w:id="34"/>
      <w:bookmarkEnd w:id="35"/>
      <w:r>
        <w:rPr>
          <w:rFonts w:eastAsia="方正黑体_GBK"/>
          <w:color w:val="000000"/>
          <w:sz w:val="32"/>
          <w:szCs w:val="32"/>
        </w:rPr>
        <w:t>服务</w:t>
      </w:r>
    </w:p>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lastRenderedPageBreak/>
        <w:t>（十二）支持委托办理产权归集。</w:t>
      </w:r>
      <w:bookmarkStart w:id="36" w:name="OLE_LINK64"/>
      <w:bookmarkStart w:id="37" w:name="OLE_LINK63"/>
      <w:r>
        <w:rPr>
          <w:rFonts w:eastAsia="方正仿宋_GBK"/>
          <w:color w:val="000000"/>
          <w:sz w:val="32"/>
          <w:szCs w:val="32"/>
        </w:rPr>
        <w:t>在房屋拆除后，根据经批准的更新项目实施方案，更新地块内的全体权利人可共同委托项目更新实施主体，持原不动产权属证书、城市更新项目的相关批准文件、委托协议等材料，申请办理国有建设用地使用权变更登记，以此作为规划许可所需的使用土地有效证明文件。</w:t>
      </w:r>
    </w:p>
    <w:bookmarkEnd w:id="36"/>
    <w:bookmarkEnd w:id="37"/>
    <w:p w:rsidR="00C13CAB" w:rsidRDefault="00CD7B48">
      <w:pPr>
        <w:spacing w:line="560" w:lineRule="exact"/>
        <w:ind w:firstLineChars="200" w:firstLine="640"/>
        <w:rPr>
          <w:rFonts w:eastAsia="方正仿宋_GBK"/>
          <w:color w:val="000000"/>
          <w:sz w:val="32"/>
          <w:szCs w:val="32"/>
        </w:rPr>
      </w:pPr>
      <w:r>
        <w:rPr>
          <w:rFonts w:eastAsia="方正楷体_GBK"/>
          <w:color w:val="000000"/>
          <w:kern w:val="0"/>
          <w:sz w:val="32"/>
          <w:szCs w:val="32"/>
        </w:rPr>
        <w:t>（十三）支持更新项目不动产登记。</w:t>
      </w:r>
      <w:bookmarkStart w:id="38" w:name="OLE_LINK66"/>
      <w:bookmarkStart w:id="39" w:name="OLE_LINK65"/>
      <w:bookmarkStart w:id="40" w:name="OLE_LINK67"/>
      <w:bookmarkStart w:id="41" w:name="OLE_LINK69"/>
      <w:bookmarkStart w:id="42" w:name="OLE_LINK68"/>
      <w:r>
        <w:rPr>
          <w:rFonts w:eastAsia="方正仿宋_GBK"/>
          <w:color w:val="000000"/>
          <w:sz w:val="32"/>
          <w:szCs w:val="32"/>
        </w:rPr>
        <w:t>更新项目完成竣工验收备案后，原权利人根据经批准的更新项目实施方案和房</w:t>
      </w:r>
      <w:r>
        <w:rPr>
          <w:rFonts w:eastAsia="方正仿宋_GBK"/>
          <w:color w:val="000000"/>
          <w:sz w:val="32"/>
          <w:szCs w:val="32"/>
        </w:rPr>
        <w:t>屋分配协议等材料可自行或委托实施主体申请办理不动产首次登记；新增建筑面积可以销售的，申请人依据销售合同等材料申请办理不动产转移登记。新增的配套设施用房，由更新项目实施方案明确的权利主体申请办理相应不动产登记。</w:t>
      </w:r>
      <w:bookmarkEnd w:id="38"/>
      <w:bookmarkEnd w:id="39"/>
      <w:bookmarkEnd w:id="40"/>
      <w:bookmarkEnd w:id="41"/>
      <w:bookmarkEnd w:id="42"/>
    </w:p>
    <w:bookmarkEnd w:id="3"/>
    <w:bookmarkEnd w:id="32"/>
    <w:bookmarkEnd w:id="33"/>
    <w:p w:rsidR="00C13CAB" w:rsidRDefault="00CD7B48">
      <w:pPr>
        <w:spacing w:line="560" w:lineRule="exact"/>
        <w:ind w:firstLineChars="200" w:firstLine="640"/>
        <w:rPr>
          <w:rFonts w:eastAsia="方正仿宋_GBK"/>
          <w:color w:val="000000"/>
          <w:sz w:val="32"/>
          <w:szCs w:val="32"/>
          <w:lang/>
        </w:rPr>
      </w:pPr>
      <w:r>
        <w:rPr>
          <w:rFonts w:eastAsia="方正仿宋_GBK"/>
          <w:color w:val="000000"/>
          <w:sz w:val="32"/>
          <w:szCs w:val="32"/>
        </w:rPr>
        <w:t>本支持政策自印发之日起施</w:t>
      </w:r>
      <w:r>
        <w:rPr>
          <w:rFonts w:eastAsia="方正仿宋_GBK"/>
          <w:color w:val="000000"/>
          <w:sz w:val="32"/>
          <w:szCs w:val="32"/>
          <w:lang/>
        </w:rPr>
        <w:t>行</w:t>
      </w:r>
      <w:r>
        <w:rPr>
          <w:rFonts w:eastAsia="方正仿宋_GBK"/>
          <w:color w:val="000000"/>
          <w:sz w:val="32"/>
          <w:szCs w:val="32"/>
        </w:rPr>
        <w:t>。</w:t>
      </w:r>
    </w:p>
    <w:p w:rsidR="00C13CAB" w:rsidRDefault="00C13CAB"/>
    <w:p w:rsidR="00C13CAB" w:rsidRDefault="00C13CAB">
      <w:pPr>
        <w:spacing w:line="560" w:lineRule="exact"/>
        <w:outlineLvl w:val="0"/>
      </w:pPr>
    </w:p>
    <w:p w:rsidR="00C13CAB" w:rsidRDefault="00C13CAB"/>
    <w:sectPr w:rsidR="00C13CAB" w:rsidSect="00C13CA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B48" w:rsidRDefault="00CD7B48" w:rsidP="00CD7B48">
      <w:r>
        <w:separator/>
      </w:r>
    </w:p>
  </w:endnote>
  <w:endnote w:type="continuationSeparator" w:id="1">
    <w:p w:rsidR="00CD7B48" w:rsidRDefault="00CD7B48" w:rsidP="00CD7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B48" w:rsidRDefault="00CD7B48" w:rsidP="00CD7B48">
      <w:r>
        <w:separator/>
      </w:r>
    </w:p>
  </w:footnote>
  <w:footnote w:type="continuationSeparator" w:id="1">
    <w:p w:rsidR="00CD7B48" w:rsidRDefault="00CD7B48" w:rsidP="00CD7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6087FC7"/>
    <w:rsid w:val="00C13CAB"/>
    <w:rsid w:val="00CD7B48"/>
    <w:rsid w:val="37B11672"/>
    <w:rsid w:val="46087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C13CAB"/>
    <w:pPr>
      <w:widowControl w:val="0"/>
      <w:jc w:val="both"/>
    </w:pPr>
    <w:rPr>
      <w:rFonts w:ascii="Times New Roman" w:eastAsia="宋体" w:hAnsi="Times New Roman" w:cs="Times New Roman"/>
      <w:kern w:val="2"/>
      <w:sz w:val="21"/>
      <w:szCs w:val="22"/>
    </w:rPr>
  </w:style>
  <w:style w:type="paragraph" w:styleId="3">
    <w:name w:val="heading 3"/>
    <w:basedOn w:val="a"/>
    <w:next w:val="a"/>
    <w:uiPriority w:val="9"/>
    <w:qFormat/>
    <w:rsid w:val="00C13CAB"/>
    <w:pPr>
      <w:widowControl/>
      <w:shd w:val="clear" w:color="auto" w:fill="FFFFFF"/>
      <w:spacing w:line="360" w:lineRule="auto"/>
      <w:jc w:val="left"/>
      <w:outlineLvl w:val="2"/>
    </w:pPr>
    <w:rPr>
      <w:rFonts w:ascii="仿宋" w:eastAsia="仿宋" w:hAnsi="仿宋" w:cs="宋体"/>
      <w:b/>
      <w:bCs/>
      <w:color w:val="0F1115"/>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13CAB"/>
    <w:pPr>
      <w:spacing w:before="100" w:beforeAutospacing="1" w:after="100" w:afterAutospacing="1"/>
      <w:jc w:val="left"/>
    </w:pPr>
    <w:rPr>
      <w:kern w:val="0"/>
      <w:sz w:val="24"/>
    </w:rPr>
  </w:style>
  <w:style w:type="paragraph" w:styleId="a4">
    <w:name w:val="header"/>
    <w:basedOn w:val="a"/>
    <w:link w:val="Char"/>
    <w:rsid w:val="00CD7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D7B48"/>
    <w:rPr>
      <w:rFonts w:ascii="Times New Roman" w:eastAsia="宋体" w:hAnsi="Times New Roman" w:cs="Times New Roman"/>
      <w:kern w:val="2"/>
      <w:sz w:val="18"/>
      <w:szCs w:val="18"/>
    </w:rPr>
  </w:style>
  <w:style w:type="paragraph" w:styleId="a5">
    <w:name w:val="footer"/>
    <w:basedOn w:val="a"/>
    <w:link w:val="Char0"/>
    <w:rsid w:val="00CD7B48"/>
    <w:pPr>
      <w:tabs>
        <w:tab w:val="center" w:pos="4153"/>
        <w:tab w:val="right" w:pos="8306"/>
      </w:tabs>
      <w:snapToGrid w:val="0"/>
      <w:jc w:val="left"/>
    </w:pPr>
    <w:rPr>
      <w:sz w:val="18"/>
      <w:szCs w:val="18"/>
    </w:rPr>
  </w:style>
  <w:style w:type="character" w:customStyle="1" w:styleId="Char0">
    <w:name w:val="页脚 Char"/>
    <w:basedOn w:val="a0"/>
    <w:link w:val="a5"/>
    <w:rsid w:val="00CD7B4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29</Characters>
  <Application>Microsoft Office Word</Application>
  <DocSecurity>0</DocSecurity>
  <Lines>1</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榻榻米</dc:creator>
  <cp:lastModifiedBy>Windows 用户</cp:lastModifiedBy>
  <cp:revision>2</cp:revision>
  <dcterms:created xsi:type="dcterms:W3CDTF">2026-02-26T05:34:00Z</dcterms:created>
  <dcterms:modified xsi:type="dcterms:W3CDTF">2026-03-03T05:52:00Z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301E95D5161D41259BE9D33AE5F6C974_11</vt:lpwstr>
  </property>
  <property fmtid="{D5CDD505-2E9C-101B-9397-08002B2CF9AE}" pid="4" name="KSOTemplateDocerSaveRecord">
    <vt:lpwstr>eyJoZGlkIjoiZWUxNWY5ZDRkOGRkMDI0NDYyNWE3NGFhNDcwZWY2MjciLCJ1c2VySWQiOiIzNTUyMzg0NDAifQ==</vt:lpwstr>
  </property>
</Properties>
</file>